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A5" w:rsidRPr="00BF7692" w:rsidRDefault="00706162" w:rsidP="00D61536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61536" w:rsidRPr="00BF7692">
        <w:rPr>
          <w:rFonts w:ascii="Times New Roman" w:hAnsi="Times New Roman" w:cs="Times New Roman"/>
          <w:b/>
          <w:sz w:val="28"/>
          <w:szCs w:val="28"/>
        </w:rPr>
        <w:t>бщественно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61536" w:rsidRPr="00BF769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61536" w:rsidRPr="00BF7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5E2" w:rsidRPr="00BF769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 муниципального нормативного правового акта местной администрации Прохладненского муниципального района </w:t>
      </w:r>
      <w:r w:rsidR="00C54EA5" w:rsidRPr="00BF7692">
        <w:rPr>
          <w:rFonts w:ascii="Times New Roman" w:hAnsi="Times New Roman" w:cs="Times New Roman"/>
          <w:b/>
          <w:sz w:val="28"/>
          <w:szCs w:val="28"/>
        </w:rPr>
        <w:t>«О внесении изменений в муниципальную программу «Развитие конкуренции в Прохладненском муниципальном районе Кабардино-Балкарской Республики»</w:t>
      </w:r>
    </w:p>
    <w:p w:rsidR="004215E2" w:rsidRPr="00BF7692" w:rsidRDefault="004215E2" w:rsidP="00CC19AD">
      <w:pPr>
        <w:spacing w:line="276" w:lineRule="auto"/>
        <w:ind w:firstLine="708"/>
        <w:jc w:val="right"/>
        <w:rPr>
          <w:sz w:val="28"/>
          <w:szCs w:val="28"/>
        </w:rPr>
      </w:pPr>
    </w:p>
    <w:p w:rsidR="00D61536" w:rsidRPr="00BF7692" w:rsidRDefault="00D61536" w:rsidP="00D61536">
      <w:pPr>
        <w:spacing w:line="276" w:lineRule="auto"/>
        <w:ind w:firstLine="708"/>
        <w:jc w:val="right"/>
        <w:rPr>
          <w:sz w:val="28"/>
          <w:szCs w:val="28"/>
        </w:rPr>
      </w:pPr>
      <w:r w:rsidRPr="00BF7692">
        <w:rPr>
          <w:sz w:val="28"/>
          <w:szCs w:val="28"/>
        </w:rPr>
        <w:t>«14» декабря 2023 года</w:t>
      </w:r>
    </w:p>
    <w:p w:rsidR="00D61536" w:rsidRPr="00BF7692" w:rsidRDefault="00D61536" w:rsidP="00D61536">
      <w:pPr>
        <w:spacing w:line="276" w:lineRule="auto"/>
        <w:ind w:firstLine="709"/>
        <w:jc w:val="both"/>
        <w:rPr>
          <w:sz w:val="28"/>
          <w:szCs w:val="28"/>
        </w:rPr>
      </w:pPr>
    </w:p>
    <w:p w:rsidR="00CE2354" w:rsidRPr="00BF7692" w:rsidRDefault="00D61536" w:rsidP="00D6153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F7692">
        <w:rPr>
          <w:sz w:val="28"/>
          <w:szCs w:val="28"/>
        </w:rPr>
        <w:t>В соответствии с пунктом 3.9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</w:t>
      </w:r>
      <w:r w:rsidRPr="00BF7692">
        <w:rPr>
          <w:bCs/>
          <w:sz w:val="28"/>
          <w:szCs w:val="28"/>
        </w:rPr>
        <w:t>, утвержденным п</w:t>
      </w:r>
      <w:r w:rsidRPr="00BF7692">
        <w:rPr>
          <w:sz w:val="28"/>
          <w:szCs w:val="28"/>
        </w:rPr>
        <w:t xml:space="preserve">остановлением местной администрации Прохладненского муниципального района КБР № 720 от 01.12.2023 года, </w:t>
      </w:r>
      <w:r w:rsidR="00A43545" w:rsidRPr="00BF7692">
        <w:rPr>
          <w:sz w:val="28"/>
          <w:szCs w:val="28"/>
        </w:rPr>
        <w:t>отде</w:t>
      </w:r>
      <w:r w:rsidR="00CE2354" w:rsidRPr="00BF7692">
        <w:rPr>
          <w:sz w:val="28"/>
          <w:szCs w:val="28"/>
        </w:rPr>
        <w:t xml:space="preserve">л экономического анализа и контроля бюджетных ресурсов местной администрации Прохладненского муниципального района </w:t>
      </w:r>
      <w:r w:rsidR="00192A0D" w:rsidRPr="00BF7692">
        <w:rPr>
          <w:sz w:val="28"/>
          <w:szCs w:val="28"/>
        </w:rPr>
        <w:t xml:space="preserve">проводит публичные консультации в отношении </w:t>
      </w:r>
      <w:r w:rsidR="00CE2354" w:rsidRPr="00BF7692">
        <w:rPr>
          <w:sz w:val="28"/>
          <w:szCs w:val="28"/>
        </w:rPr>
        <w:t>проекта муниципального нормативного правового акта местной администрации Прохладненского муниципального</w:t>
      </w:r>
      <w:proofErr w:type="gramEnd"/>
      <w:r w:rsidR="00CE2354" w:rsidRPr="00BF7692">
        <w:rPr>
          <w:sz w:val="28"/>
          <w:szCs w:val="28"/>
        </w:rPr>
        <w:t xml:space="preserve"> района </w:t>
      </w:r>
      <w:r w:rsidR="00C54EA5" w:rsidRPr="00BF7692">
        <w:rPr>
          <w:sz w:val="28"/>
          <w:szCs w:val="28"/>
        </w:rPr>
        <w:t xml:space="preserve">«О внесении изменений в муниципальную программу «Развитие конкуренции в Прохладненском муниципальном районе Кабардино-Балкарской Республики» </w:t>
      </w:r>
      <w:r w:rsidR="003E4C73" w:rsidRPr="00BF7692">
        <w:rPr>
          <w:sz w:val="28"/>
          <w:szCs w:val="28"/>
        </w:rPr>
        <w:t xml:space="preserve">(далее – </w:t>
      </w:r>
      <w:r w:rsidR="00192A0D" w:rsidRPr="00BF7692">
        <w:rPr>
          <w:sz w:val="28"/>
          <w:szCs w:val="28"/>
        </w:rPr>
        <w:t>МНПА</w:t>
      </w:r>
      <w:r w:rsidR="003E4C73" w:rsidRPr="00BF7692">
        <w:rPr>
          <w:sz w:val="28"/>
          <w:szCs w:val="28"/>
        </w:rPr>
        <w:t>)</w:t>
      </w:r>
      <w:r w:rsidR="00CE2354" w:rsidRPr="00BF7692">
        <w:rPr>
          <w:sz w:val="28"/>
          <w:szCs w:val="28"/>
        </w:rPr>
        <w:t>.</w:t>
      </w:r>
    </w:p>
    <w:p w:rsidR="000558B5" w:rsidRPr="00BF7692" w:rsidRDefault="000558B5" w:rsidP="000C07BF">
      <w:pPr>
        <w:spacing w:line="276" w:lineRule="auto"/>
        <w:ind w:firstLine="709"/>
        <w:jc w:val="both"/>
        <w:rPr>
          <w:sz w:val="28"/>
          <w:szCs w:val="28"/>
        </w:rPr>
      </w:pPr>
      <w:r w:rsidRPr="00BF7692">
        <w:rPr>
          <w:sz w:val="28"/>
          <w:szCs w:val="28"/>
        </w:rPr>
        <w:t xml:space="preserve">Инициатор проведения экспертизы: </w:t>
      </w:r>
      <w:r w:rsidR="00CE2354" w:rsidRPr="00BF7692">
        <w:rPr>
          <w:sz w:val="28"/>
          <w:szCs w:val="28"/>
        </w:rPr>
        <w:t xml:space="preserve">отдел экономического анализа и контроля бюджетных ресурсов местной администрации Прохладненского муниципального района </w:t>
      </w:r>
      <w:r w:rsidR="00A642C5" w:rsidRPr="00BF7692">
        <w:rPr>
          <w:sz w:val="28"/>
          <w:szCs w:val="28"/>
        </w:rPr>
        <w:t>КБР.</w:t>
      </w:r>
    </w:p>
    <w:p w:rsidR="00D61536" w:rsidRPr="00BF7692" w:rsidRDefault="00D61536" w:rsidP="00D61536">
      <w:pPr>
        <w:spacing w:line="276" w:lineRule="auto"/>
        <w:ind w:firstLine="709"/>
        <w:jc w:val="both"/>
        <w:rPr>
          <w:sz w:val="28"/>
          <w:szCs w:val="28"/>
        </w:rPr>
      </w:pPr>
      <w:r w:rsidRPr="00BF7692">
        <w:rPr>
          <w:sz w:val="28"/>
          <w:szCs w:val="28"/>
        </w:rPr>
        <w:t xml:space="preserve">Прием замечаний, предложений и иной информации по МНПА, будет </w:t>
      </w:r>
      <w:r w:rsidRPr="00DE0F10">
        <w:rPr>
          <w:sz w:val="28"/>
          <w:szCs w:val="28"/>
        </w:rPr>
        <w:t xml:space="preserve">осуществляться с 14 декабря 2023 года до 20 декабря 2023 года на электронную почту: </w:t>
      </w:r>
      <w:proofErr w:type="spellStart"/>
      <w:r w:rsidR="00DE0F10" w:rsidRPr="00DE0F10">
        <w:rPr>
          <w:sz w:val="28"/>
          <w:szCs w:val="28"/>
          <w:lang w:val="en-US"/>
        </w:rPr>
        <w:t>adminprohr</w:t>
      </w:r>
      <w:proofErr w:type="spellEnd"/>
      <w:r w:rsidR="00DE0F10" w:rsidRPr="00DE0F10">
        <w:rPr>
          <w:sz w:val="28"/>
          <w:szCs w:val="28"/>
        </w:rPr>
        <w:t>@</w:t>
      </w:r>
      <w:proofErr w:type="spellStart"/>
      <w:r w:rsidR="00DE0F10" w:rsidRPr="00DE0F10">
        <w:rPr>
          <w:sz w:val="28"/>
          <w:szCs w:val="28"/>
          <w:lang w:val="en-US"/>
        </w:rPr>
        <w:t>kbr</w:t>
      </w:r>
      <w:proofErr w:type="spellEnd"/>
      <w:r w:rsidR="00DE0F10" w:rsidRPr="00DE0F10">
        <w:rPr>
          <w:sz w:val="28"/>
          <w:szCs w:val="28"/>
        </w:rPr>
        <w:t>.</w:t>
      </w:r>
      <w:proofErr w:type="spellStart"/>
      <w:r w:rsidR="00DE0F10" w:rsidRPr="00DE0F10">
        <w:rPr>
          <w:sz w:val="28"/>
          <w:szCs w:val="28"/>
          <w:lang w:val="en-US"/>
        </w:rPr>
        <w:t>ru</w:t>
      </w:r>
      <w:proofErr w:type="spellEnd"/>
      <w:r w:rsidRPr="00DE0F10">
        <w:rPr>
          <w:sz w:val="28"/>
          <w:szCs w:val="28"/>
        </w:rPr>
        <w:t xml:space="preserve"> или по</w:t>
      </w:r>
      <w:r w:rsidRPr="00361783">
        <w:rPr>
          <w:sz w:val="28"/>
          <w:szCs w:val="28"/>
        </w:rPr>
        <w:t xml:space="preserve"> адресу: 361045, КБР, г. Прохладный, ул. Гагарина, 47, четвертый этаж</w:t>
      </w:r>
      <w:r w:rsidRPr="00FD20DE">
        <w:rPr>
          <w:sz w:val="28"/>
          <w:szCs w:val="28"/>
        </w:rPr>
        <w:t>, кабинет № 408, Местная администрация Прохладненского муниципального</w:t>
      </w:r>
      <w:r w:rsidRPr="00C2063F">
        <w:rPr>
          <w:sz w:val="28"/>
          <w:szCs w:val="28"/>
        </w:rPr>
        <w:t xml:space="preserve"> района </w:t>
      </w:r>
      <w:r w:rsidRPr="00BF7692">
        <w:rPr>
          <w:sz w:val="28"/>
          <w:szCs w:val="28"/>
        </w:rPr>
        <w:t>КБР. Контактное лицо по вопросам, обсуждаемым в ходе проведения публичных консультаций: Доценко Ирина Николаевна, 8 (866-31) 4-10-34.</w:t>
      </w:r>
    </w:p>
    <w:p w:rsidR="00D61536" w:rsidRDefault="00D61536" w:rsidP="00D6153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692">
        <w:rPr>
          <w:rFonts w:ascii="Times New Roman" w:hAnsi="Times New Roman" w:cs="Times New Roman"/>
          <w:sz w:val="28"/>
          <w:szCs w:val="28"/>
        </w:rPr>
        <w:t>Пост</w:t>
      </w:r>
      <w:bookmarkStart w:id="0" w:name="_GoBack"/>
      <w:bookmarkEnd w:id="0"/>
      <w:r w:rsidRPr="00BF7692">
        <w:rPr>
          <w:rFonts w:ascii="Times New Roman" w:hAnsi="Times New Roman" w:cs="Times New Roman"/>
          <w:sz w:val="28"/>
          <w:szCs w:val="28"/>
        </w:rPr>
        <w:t>упившие в ходе общественного обсуждения замечания, предложения, рекомендации, сведения (расчеты, обоснования), информационно-аналитические материалы, подлежат рассмотрению во взаимосвязи со сложившейся практикой их применения, учитывается их соответствие принципам</w:t>
      </w:r>
      <w:r w:rsidRPr="00C2063F">
        <w:rPr>
          <w:rFonts w:ascii="Times New Roman" w:hAnsi="Times New Roman" w:cs="Times New Roman"/>
          <w:sz w:val="28"/>
          <w:szCs w:val="28"/>
        </w:rPr>
        <w:t xml:space="preserve"> правового регулирования, установленным законодательством Российской Федерации,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МНПА.</w:t>
      </w:r>
      <w:proofErr w:type="gramEnd"/>
    </w:p>
    <w:p w:rsidR="00D61536" w:rsidRPr="00C2063F" w:rsidRDefault="00D61536" w:rsidP="00D6153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CBB" w:rsidRDefault="00592CBB" w:rsidP="004625C9">
      <w:pPr>
        <w:widowControl w:val="0"/>
        <w:jc w:val="both"/>
        <w:rPr>
          <w:szCs w:val="26"/>
        </w:rPr>
      </w:pPr>
    </w:p>
    <w:p w:rsidR="0091254E" w:rsidRPr="004A33B4" w:rsidRDefault="0091254E" w:rsidP="0091254E">
      <w:pPr>
        <w:jc w:val="center"/>
        <w:rPr>
          <w:sz w:val="28"/>
          <w:szCs w:val="28"/>
        </w:rPr>
      </w:pPr>
      <w:r w:rsidRPr="004A33B4">
        <w:rPr>
          <w:sz w:val="28"/>
          <w:szCs w:val="28"/>
        </w:rPr>
        <w:lastRenderedPageBreak/>
        <w:t>ПРОЕКТ</w:t>
      </w:r>
    </w:p>
    <w:p w:rsidR="0091254E" w:rsidRPr="00E827B1" w:rsidRDefault="0091254E" w:rsidP="0091254E">
      <w:pPr>
        <w:jc w:val="center"/>
        <w:rPr>
          <w:sz w:val="28"/>
          <w:szCs w:val="28"/>
        </w:rPr>
      </w:pPr>
      <w:r w:rsidRPr="00E827B1">
        <w:rPr>
          <w:sz w:val="28"/>
          <w:szCs w:val="28"/>
        </w:rPr>
        <w:t>постановления местной администрации</w:t>
      </w:r>
    </w:p>
    <w:p w:rsidR="0091254E" w:rsidRPr="00E827B1" w:rsidRDefault="0091254E" w:rsidP="0091254E">
      <w:pPr>
        <w:jc w:val="center"/>
        <w:rPr>
          <w:sz w:val="28"/>
          <w:szCs w:val="28"/>
        </w:rPr>
      </w:pPr>
      <w:r w:rsidRPr="00E827B1">
        <w:rPr>
          <w:sz w:val="28"/>
          <w:szCs w:val="28"/>
        </w:rPr>
        <w:t>Прохладненского муниципального района</w:t>
      </w:r>
    </w:p>
    <w:p w:rsidR="0091254E" w:rsidRPr="00E827B1" w:rsidRDefault="0091254E" w:rsidP="0091254E">
      <w:pPr>
        <w:jc w:val="center"/>
        <w:rPr>
          <w:sz w:val="28"/>
          <w:szCs w:val="28"/>
        </w:rPr>
      </w:pPr>
    </w:p>
    <w:p w:rsidR="0091254E" w:rsidRPr="00E827B1" w:rsidRDefault="0091254E" w:rsidP="0091254E">
      <w:pPr>
        <w:rPr>
          <w:sz w:val="28"/>
          <w:szCs w:val="28"/>
        </w:rPr>
      </w:pPr>
    </w:p>
    <w:p w:rsidR="0091254E" w:rsidRPr="00E827B1" w:rsidRDefault="0091254E" w:rsidP="0091254E">
      <w:pPr>
        <w:rPr>
          <w:sz w:val="28"/>
          <w:szCs w:val="28"/>
        </w:rPr>
      </w:pPr>
      <w:r w:rsidRPr="00E827B1">
        <w:rPr>
          <w:sz w:val="28"/>
          <w:szCs w:val="28"/>
        </w:rPr>
        <w:t xml:space="preserve">«___» __________ 2023 года                   </w:t>
      </w:r>
      <w:r>
        <w:rPr>
          <w:sz w:val="28"/>
          <w:szCs w:val="28"/>
        </w:rPr>
        <w:t xml:space="preserve"> </w:t>
      </w:r>
      <w:r w:rsidRPr="00E827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E827B1">
        <w:rPr>
          <w:sz w:val="28"/>
          <w:szCs w:val="28"/>
        </w:rPr>
        <w:t xml:space="preserve">                                         № _____</w:t>
      </w:r>
    </w:p>
    <w:p w:rsidR="0091254E" w:rsidRPr="00E827B1" w:rsidRDefault="0091254E" w:rsidP="0091254E">
      <w:pPr>
        <w:rPr>
          <w:sz w:val="28"/>
          <w:szCs w:val="28"/>
        </w:rPr>
      </w:pPr>
    </w:p>
    <w:p w:rsidR="0091254E" w:rsidRPr="007658E9" w:rsidRDefault="0091254E" w:rsidP="0091254E">
      <w:pPr>
        <w:pStyle w:val="3"/>
        <w:rPr>
          <w:b w:val="0"/>
          <w:szCs w:val="28"/>
        </w:rPr>
      </w:pPr>
      <w:r w:rsidRPr="00E827B1">
        <w:rPr>
          <w:b w:val="0"/>
          <w:szCs w:val="28"/>
        </w:rPr>
        <w:t xml:space="preserve">«О внесении изменений в </w:t>
      </w:r>
      <w:r w:rsidRPr="007658E9">
        <w:rPr>
          <w:b w:val="0"/>
          <w:szCs w:val="28"/>
        </w:rPr>
        <w:t>муниципальную программу</w:t>
      </w:r>
    </w:p>
    <w:p w:rsidR="0091254E" w:rsidRPr="007658E9" w:rsidRDefault="0091254E" w:rsidP="0091254E">
      <w:pPr>
        <w:pStyle w:val="3"/>
        <w:rPr>
          <w:b w:val="0"/>
          <w:szCs w:val="28"/>
        </w:rPr>
      </w:pPr>
      <w:r w:rsidRPr="007658E9">
        <w:rPr>
          <w:b w:val="0"/>
          <w:szCs w:val="28"/>
        </w:rPr>
        <w:t>«Развитие конкуренции в Прохладненском муниципальном районе Кабардино-Балкарской Республики»</w:t>
      </w:r>
    </w:p>
    <w:p w:rsidR="0091254E" w:rsidRPr="007658E9" w:rsidRDefault="0091254E" w:rsidP="0091254E">
      <w:pPr>
        <w:pStyle w:val="3"/>
        <w:rPr>
          <w:b w:val="0"/>
          <w:szCs w:val="28"/>
        </w:rPr>
      </w:pPr>
    </w:p>
    <w:p w:rsidR="0091254E" w:rsidRPr="007658E9" w:rsidRDefault="0091254E" w:rsidP="009125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58E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РФ от 17.04.2019 № 768-р</w:t>
      </w:r>
      <w:proofErr w:type="gramEnd"/>
      <w:r w:rsidRPr="007658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658E9">
        <w:rPr>
          <w:rFonts w:ascii="Times New Roman" w:hAnsi="Times New Roman" w:cs="Times New Roman"/>
          <w:sz w:val="28"/>
          <w:szCs w:val="28"/>
        </w:rPr>
        <w:t>Законом Кабардино-Балкарской Республики от 03.08.2002 № 52-РЗ «О правовых актах в Кабардино-Балкарской Республике», Уставом Прохладненского муниципального района, решением Совета местного самоуправления Прохладненского муниципального района КБР от 29.12.2022 № 27/2 «О районном бюджете Прохладненского муниципального района Кабардино-Балкарской Республики на 2023 год и на плановый период 2024 и 2025 годов», постановлением местной администрации Прохладненского муниципального района Кабардино-Балкарской Республики от 06.10.2017 № 312 «</w:t>
      </w:r>
      <w:r w:rsidRPr="007658E9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</w:t>
      </w:r>
      <w:proofErr w:type="gramEnd"/>
      <w:r w:rsidRPr="00765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Порядка разработки, реализации и оценки эффективности муниципальных программ Прохладненского муниципального района КБР», </w:t>
      </w:r>
      <w:r w:rsidRPr="007658E9">
        <w:rPr>
          <w:rFonts w:ascii="Times New Roman" w:hAnsi="Times New Roman" w:cs="Times New Roman"/>
          <w:sz w:val="28"/>
          <w:szCs w:val="28"/>
        </w:rPr>
        <w:t xml:space="preserve">постановлением местной администрации Прохладненского муниципального района Кабардино-Балкарской Республики от 24.10.2017 № 333 «Об утверждении Перечня муниципальных программ Прохладненского муниципального района КБР», в целях создания условий для дальнейшего развития конкуренции на рынках товаров, работ, услуг на территории Прохладненского муниципального района КБР, местная администрация Прохладненского муниципального района КБР </w:t>
      </w:r>
      <w:proofErr w:type="spellStart"/>
      <w:proofErr w:type="gramStart"/>
      <w:r w:rsidRPr="007658E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658E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proofErr w:type="gramStart"/>
      <w:r w:rsidRPr="007658E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7658E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91254E" w:rsidRPr="007658E9" w:rsidRDefault="0091254E" w:rsidP="00912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9">
        <w:rPr>
          <w:rFonts w:ascii="Times New Roman" w:hAnsi="Times New Roman" w:cs="Times New Roman"/>
          <w:sz w:val="28"/>
          <w:szCs w:val="28"/>
        </w:rPr>
        <w:t>1. Внести в муниципальную программу «Развитие конкуренции в Прохладненском муниципальном районе КБР», утвержденную постановлением местной администрации Прохладненского муниципального района от 17.12.2019 № 839 (далее – Программа), следующие изменения:</w:t>
      </w:r>
    </w:p>
    <w:p w:rsidR="0091254E" w:rsidRPr="007658E9" w:rsidRDefault="0091254E" w:rsidP="00912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9">
        <w:rPr>
          <w:rFonts w:ascii="Times New Roman" w:hAnsi="Times New Roman" w:cs="Times New Roman"/>
          <w:sz w:val="28"/>
          <w:szCs w:val="28"/>
        </w:rPr>
        <w:t>1.1. В паспорте муниципальной программы Развитие конкуренции в Прохладненском муниципальном районе КБР» раздел «Сроки реализации программы» изложить в новой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993"/>
        <w:gridCol w:w="6378"/>
      </w:tblGrid>
      <w:tr w:rsidR="0091254E" w:rsidRPr="007658E9" w:rsidTr="004A5A92">
        <w:tc>
          <w:tcPr>
            <w:tcW w:w="2330" w:type="dxa"/>
          </w:tcPr>
          <w:p w:rsidR="0091254E" w:rsidRPr="007658E9" w:rsidRDefault="0091254E" w:rsidP="004A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58E9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58E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993" w:type="dxa"/>
          </w:tcPr>
          <w:p w:rsidR="0091254E" w:rsidRPr="007658E9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32926">
              <w:rPr>
                <w:rFonts w:ascii="Times New Roman" w:hAnsi="Times New Roman"/>
                <w:sz w:val="28"/>
                <w:szCs w:val="28"/>
              </w:rPr>
              <w:t>Муниципальная программа будет реализована в семь этапов:</w:t>
            </w:r>
          </w:p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1-й этап –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2-й этап –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3-й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lastRenderedPageBreak/>
              <w:t>4-й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5-й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91254E" w:rsidRPr="00BA4481" w:rsidRDefault="0091254E" w:rsidP="004A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6-й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91254E" w:rsidRPr="007658E9" w:rsidRDefault="0091254E" w:rsidP="004A5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7-й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</w:tbl>
    <w:p w:rsidR="0091254E" w:rsidRPr="007658E9" w:rsidRDefault="0091254E" w:rsidP="0091254E">
      <w:pPr>
        <w:jc w:val="both"/>
        <w:rPr>
          <w:sz w:val="28"/>
          <w:szCs w:val="28"/>
        </w:rPr>
      </w:pPr>
    </w:p>
    <w:p w:rsidR="0091254E" w:rsidRPr="00E827B1" w:rsidRDefault="0091254E" w:rsidP="0091254E">
      <w:pPr>
        <w:ind w:firstLine="851"/>
        <w:jc w:val="both"/>
        <w:rPr>
          <w:sz w:val="28"/>
          <w:szCs w:val="28"/>
        </w:rPr>
      </w:pPr>
      <w:r w:rsidRPr="007658E9">
        <w:rPr>
          <w:sz w:val="28"/>
          <w:szCs w:val="28"/>
        </w:rPr>
        <w:t>1.2. В паспорте Программы раздел «Объемы и источники финансирования (с разбивкой по годам и уровням бюджетов)» излож</w:t>
      </w:r>
      <w:r w:rsidRPr="00E827B1">
        <w:rPr>
          <w:sz w:val="28"/>
          <w:szCs w:val="28"/>
        </w:rPr>
        <w:t>ить в новой редакции:</w:t>
      </w:r>
    </w:p>
    <w:p w:rsidR="0091254E" w:rsidRPr="00E827B1" w:rsidRDefault="0091254E" w:rsidP="0091254E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6343"/>
      </w:tblGrid>
      <w:tr w:rsidR="0091254E" w:rsidRPr="00E827B1" w:rsidTr="004A5A92">
        <w:tc>
          <w:tcPr>
            <w:tcW w:w="3227" w:type="dxa"/>
          </w:tcPr>
          <w:p w:rsidR="0091254E" w:rsidRPr="00E827B1" w:rsidRDefault="0091254E" w:rsidP="004A5A92">
            <w:pPr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Объемы и источники финансирования (с разбивкой по годам и уровням бюджетов)</w:t>
            </w:r>
          </w:p>
        </w:tc>
        <w:tc>
          <w:tcPr>
            <w:tcW w:w="6343" w:type="dxa"/>
          </w:tcPr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Общий объем финансирования за счет средств федерального бюджета – 0,00 руб.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Общий объем финансирования за счет средств республиканского бюджета – 0,00 руб.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Общий объем финансирования за счет средств местного бюджета – 0,00 руб., в т.ч. по годам: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2019 год – 0,00 руб.,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2020 год – 0,00 руб.,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2021 год – 0,00 руб.,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2022 год – 0,00 руб.,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2023 год – 0,00 руб.,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2024 год – 0,00 руб.;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2025 год – 0,00 руб.</w:t>
            </w: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</w:p>
          <w:p w:rsidR="0091254E" w:rsidRPr="00E827B1" w:rsidRDefault="0091254E" w:rsidP="004A5A92">
            <w:pPr>
              <w:jc w:val="both"/>
              <w:rPr>
                <w:sz w:val="28"/>
                <w:szCs w:val="28"/>
              </w:rPr>
            </w:pPr>
            <w:r w:rsidRPr="00E827B1">
              <w:rPr>
                <w:sz w:val="28"/>
                <w:szCs w:val="28"/>
              </w:rPr>
              <w:t>ИТОГО общий объем финансирования за счет всех источников финансирования – 0,00 руб.</w:t>
            </w:r>
          </w:p>
        </w:tc>
      </w:tr>
    </w:tbl>
    <w:p w:rsidR="0091254E" w:rsidRPr="00E827B1" w:rsidRDefault="0091254E" w:rsidP="0091254E">
      <w:pPr>
        <w:rPr>
          <w:sz w:val="28"/>
          <w:szCs w:val="28"/>
        </w:rPr>
      </w:pPr>
    </w:p>
    <w:p w:rsidR="0091254E" w:rsidRPr="00E827B1" w:rsidRDefault="0091254E" w:rsidP="0091254E">
      <w:pPr>
        <w:ind w:firstLine="851"/>
        <w:jc w:val="both"/>
        <w:rPr>
          <w:sz w:val="28"/>
          <w:szCs w:val="28"/>
        </w:rPr>
      </w:pPr>
      <w:r w:rsidRPr="00E827B1">
        <w:rPr>
          <w:sz w:val="28"/>
          <w:szCs w:val="28"/>
        </w:rPr>
        <w:t>2. Приложения №№ 1, 2 к Программе изложить в новой редакции (прилагаются).</w:t>
      </w:r>
    </w:p>
    <w:p w:rsidR="0091254E" w:rsidRPr="00E827B1" w:rsidRDefault="0091254E" w:rsidP="0091254E">
      <w:pPr>
        <w:ind w:firstLine="851"/>
        <w:jc w:val="both"/>
        <w:rPr>
          <w:sz w:val="28"/>
          <w:szCs w:val="28"/>
        </w:rPr>
      </w:pPr>
      <w:r w:rsidRPr="00E827B1">
        <w:rPr>
          <w:sz w:val="28"/>
          <w:szCs w:val="28"/>
        </w:rPr>
        <w:t>3. МКУ «Управление финансами местной администрации Прохладненского района КБР» (</w:t>
      </w:r>
      <w:proofErr w:type="spellStart"/>
      <w:r w:rsidRPr="00E827B1">
        <w:rPr>
          <w:sz w:val="28"/>
          <w:szCs w:val="28"/>
        </w:rPr>
        <w:t>Галачиева</w:t>
      </w:r>
      <w:proofErr w:type="spellEnd"/>
      <w:r w:rsidRPr="00E827B1">
        <w:rPr>
          <w:sz w:val="28"/>
          <w:szCs w:val="28"/>
        </w:rPr>
        <w:t xml:space="preserve"> С.В.)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программы «Развитие конкуренции в Прохладненском муниципальном районе Кабардино-Балкарской Республики».</w:t>
      </w:r>
    </w:p>
    <w:p w:rsidR="0091254E" w:rsidRPr="00E827B1" w:rsidRDefault="0091254E" w:rsidP="0091254E">
      <w:pPr>
        <w:ind w:firstLine="851"/>
        <w:jc w:val="both"/>
        <w:rPr>
          <w:sz w:val="28"/>
          <w:szCs w:val="28"/>
        </w:rPr>
      </w:pPr>
      <w:r w:rsidRPr="00E827B1">
        <w:rPr>
          <w:sz w:val="28"/>
          <w:szCs w:val="28"/>
        </w:rPr>
        <w:t xml:space="preserve">4. 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</w:t>
      </w:r>
      <w:proofErr w:type="spellStart"/>
      <w:r w:rsidRPr="00E827B1">
        <w:rPr>
          <w:sz w:val="28"/>
          <w:szCs w:val="28"/>
        </w:rPr>
        <w:t>www.prohladnenskiy</w:t>
      </w:r>
      <w:proofErr w:type="spellEnd"/>
      <w:r w:rsidRPr="00E827B1">
        <w:rPr>
          <w:sz w:val="28"/>
          <w:szCs w:val="28"/>
        </w:rPr>
        <w:t>.</w:t>
      </w:r>
      <w:proofErr w:type="spellStart"/>
      <w:r w:rsidRPr="00E827B1">
        <w:rPr>
          <w:sz w:val="28"/>
          <w:szCs w:val="28"/>
          <w:lang w:val="en-US"/>
        </w:rPr>
        <w:t>kbr</w:t>
      </w:r>
      <w:proofErr w:type="spellEnd"/>
      <w:r w:rsidRPr="00E827B1">
        <w:rPr>
          <w:sz w:val="28"/>
          <w:szCs w:val="28"/>
        </w:rPr>
        <w:t>.</w:t>
      </w:r>
      <w:proofErr w:type="spellStart"/>
      <w:r w:rsidRPr="00E827B1">
        <w:rPr>
          <w:sz w:val="28"/>
          <w:szCs w:val="28"/>
        </w:rPr>
        <w:t>ru</w:t>
      </w:r>
      <w:proofErr w:type="spellEnd"/>
      <w:r w:rsidRPr="00E827B1">
        <w:rPr>
          <w:sz w:val="28"/>
          <w:szCs w:val="28"/>
        </w:rPr>
        <w:t>.</w:t>
      </w:r>
    </w:p>
    <w:p w:rsidR="0091254E" w:rsidRPr="00E827B1" w:rsidRDefault="0091254E" w:rsidP="0091254E">
      <w:pPr>
        <w:ind w:firstLine="851"/>
        <w:jc w:val="both"/>
        <w:rPr>
          <w:sz w:val="28"/>
          <w:szCs w:val="28"/>
        </w:rPr>
      </w:pPr>
      <w:r w:rsidRPr="00E827B1">
        <w:rPr>
          <w:sz w:val="28"/>
          <w:szCs w:val="28"/>
        </w:rPr>
        <w:t xml:space="preserve">5. Контроль по исполнению настоящего постановления возложить на заместителя главы местной администрации Прохладненского муниципального района КБР по экономике и правовым вопросам </w:t>
      </w:r>
      <w:proofErr w:type="spellStart"/>
      <w:r w:rsidRPr="00E827B1">
        <w:rPr>
          <w:sz w:val="28"/>
          <w:szCs w:val="28"/>
        </w:rPr>
        <w:t>Подолякину</w:t>
      </w:r>
      <w:proofErr w:type="spellEnd"/>
      <w:r w:rsidRPr="00E827B1">
        <w:rPr>
          <w:sz w:val="28"/>
          <w:szCs w:val="28"/>
        </w:rPr>
        <w:t xml:space="preserve"> А.Н.</w:t>
      </w:r>
    </w:p>
    <w:p w:rsidR="0091254E" w:rsidRPr="00E827B1" w:rsidRDefault="0091254E" w:rsidP="009125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27B1">
        <w:rPr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91254E" w:rsidRPr="00E827B1" w:rsidRDefault="0091254E" w:rsidP="0091254E">
      <w:pPr>
        <w:pStyle w:val="3"/>
        <w:ind w:firstLine="567"/>
        <w:jc w:val="both"/>
        <w:rPr>
          <w:b w:val="0"/>
          <w:szCs w:val="28"/>
        </w:rPr>
      </w:pPr>
    </w:p>
    <w:p w:rsidR="0091254E" w:rsidRPr="00E827B1" w:rsidRDefault="0091254E" w:rsidP="0091254E">
      <w:pPr>
        <w:pStyle w:val="3"/>
        <w:ind w:firstLine="567"/>
        <w:jc w:val="both"/>
        <w:rPr>
          <w:b w:val="0"/>
          <w:szCs w:val="28"/>
        </w:rPr>
      </w:pPr>
    </w:p>
    <w:p w:rsidR="0091254E" w:rsidRPr="00E827B1" w:rsidRDefault="0091254E" w:rsidP="0091254E">
      <w:pPr>
        <w:pStyle w:val="3"/>
        <w:jc w:val="both"/>
        <w:rPr>
          <w:b w:val="0"/>
          <w:szCs w:val="28"/>
        </w:rPr>
      </w:pPr>
      <w:r w:rsidRPr="00E827B1">
        <w:rPr>
          <w:b w:val="0"/>
          <w:szCs w:val="28"/>
        </w:rPr>
        <w:t>Глава местной администрации</w:t>
      </w:r>
    </w:p>
    <w:p w:rsidR="0091254E" w:rsidRPr="00E827B1" w:rsidRDefault="0091254E" w:rsidP="0091254E">
      <w:pPr>
        <w:pStyle w:val="3"/>
        <w:jc w:val="both"/>
        <w:rPr>
          <w:b w:val="0"/>
          <w:szCs w:val="28"/>
        </w:rPr>
      </w:pPr>
      <w:r w:rsidRPr="00E827B1">
        <w:rPr>
          <w:b w:val="0"/>
          <w:szCs w:val="28"/>
        </w:rPr>
        <w:t>Прохладненского муниципального района                                  А.И. Журавлев</w:t>
      </w:r>
    </w:p>
    <w:p w:rsidR="0091254E" w:rsidRPr="00E827B1" w:rsidRDefault="0091254E" w:rsidP="0091254E">
      <w:pPr>
        <w:jc w:val="center"/>
        <w:rPr>
          <w:b/>
        </w:rPr>
        <w:sectPr w:rsidR="0091254E" w:rsidRPr="00E827B1" w:rsidSect="00EE65D5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91254E" w:rsidRPr="00E827B1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lastRenderedPageBreak/>
        <w:t>Приложение №1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к муниципальной программе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«Развитие конкуренции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в Прохладненском муниципальном районе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Кабардино-Балкарской Республики»</w:t>
      </w:r>
    </w:p>
    <w:p w:rsidR="0091254E" w:rsidRPr="00E827B1" w:rsidRDefault="0091254E" w:rsidP="0091254E">
      <w:pPr>
        <w:pStyle w:val="ConsPlusNormal"/>
        <w:rPr>
          <w:rFonts w:ascii="Times New Roman" w:hAnsi="Times New Roman" w:cs="Times New Roman"/>
        </w:rPr>
      </w:pPr>
    </w:p>
    <w:p w:rsidR="0091254E" w:rsidRPr="00E827B1" w:rsidRDefault="0091254E" w:rsidP="0091254E">
      <w:pPr>
        <w:pStyle w:val="ConsPlusTitle"/>
        <w:jc w:val="center"/>
      </w:pPr>
      <w:bookmarkStart w:id="1" w:name="P289"/>
      <w:bookmarkEnd w:id="1"/>
      <w:r w:rsidRPr="00E827B1">
        <w:t>СИСТЕМА ПРОГРАММНЫХ МЕРОПРИЯТИЙ</w:t>
      </w:r>
    </w:p>
    <w:p w:rsidR="0091254E" w:rsidRPr="00E827B1" w:rsidRDefault="0091254E" w:rsidP="0091254E">
      <w:pPr>
        <w:pStyle w:val="ConsPlusTitle"/>
        <w:jc w:val="center"/>
      </w:pPr>
      <w:r w:rsidRPr="00E827B1">
        <w:t xml:space="preserve">МУНИЦИПАЛЬНОЙ ПРОГРАММЫ «РАЗВИТИЕ КОНКУРЕНЦИИ </w:t>
      </w:r>
    </w:p>
    <w:p w:rsidR="0091254E" w:rsidRPr="00E827B1" w:rsidRDefault="0091254E" w:rsidP="0091254E">
      <w:pPr>
        <w:pStyle w:val="ConsPlusTitle"/>
        <w:jc w:val="center"/>
      </w:pPr>
      <w:r w:rsidRPr="00E827B1">
        <w:t>В ПРОХЛАДНЕНСКОМ МУНИЦИПАЛЬНОМ РАЙОНЕ</w:t>
      </w:r>
    </w:p>
    <w:p w:rsidR="0091254E" w:rsidRPr="00E827B1" w:rsidRDefault="0091254E" w:rsidP="0091254E">
      <w:pPr>
        <w:pStyle w:val="ConsPlusTitle"/>
        <w:jc w:val="center"/>
      </w:pPr>
      <w:r w:rsidRPr="00E827B1">
        <w:t>КАБАРДИНО-БАЛКАРСКОЙ РЕСПУБЛИКИ»</w:t>
      </w:r>
    </w:p>
    <w:p w:rsidR="0091254E" w:rsidRPr="00E827B1" w:rsidRDefault="0091254E" w:rsidP="0091254E">
      <w:pPr>
        <w:spacing w:after="1"/>
      </w:pPr>
    </w:p>
    <w:tbl>
      <w:tblPr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478"/>
        <w:gridCol w:w="1886"/>
        <w:gridCol w:w="1393"/>
        <w:gridCol w:w="1276"/>
        <w:gridCol w:w="836"/>
        <w:gridCol w:w="850"/>
        <w:gridCol w:w="850"/>
        <w:gridCol w:w="850"/>
        <w:gridCol w:w="850"/>
        <w:gridCol w:w="850"/>
        <w:gridCol w:w="850"/>
        <w:gridCol w:w="850"/>
        <w:gridCol w:w="1643"/>
      </w:tblGrid>
      <w:tr w:rsidR="0091254E" w:rsidRPr="00E827B1" w:rsidTr="004A5A92">
        <w:trPr>
          <w:jc w:val="center"/>
        </w:trPr>
        <w:tc>
          <w:tcPr>
            <w:tcW w:w="568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827B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27B1">
              <w:rPr>
                <w:rFonts w:ascii="Times New Roman" w:hAnsi="Times New Roman" w:cs="Times New Roman"/>
              </w:rPr>
              <w:t>/</w:t>
            </w:r>
            <w:proofErr w:type="spellStart"/>
            <w:r w:rsidRPr="00E827B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78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86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393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276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786" w:type="dxa"/>
            <w:gridSpan w:val="8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643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  <w:vMerge/>
          </w:tcPr>
          <w:p w:rsidR="0091254E" w:rsidRPr="00E827B1" w:rsidRDefault="0091254E" w:rsidP="004A5A92"/>
        </w:tc>
        <w:tc>
          <w:tcPr>
            <w:tcW w:w="2478" w:type="dxa"/>
            <w:vMerge/>
          </w:tcPr>
          <w:p w:rsidR="0091254E" w:rsidRPr="00E827B1" w:rsidRDefault="0091254E" w:rsidP="004A5A92">
            <w:pPr>
              <w:jc w:val="both"/>
            </w:pPr>
          </w:p>
        </w:tc>
        <w:tc>
          <w:tcPr>
            <w:tcW w:w="1886" w:type="dxa"/>
            <w:vMerge/>
          </w:tcPr>
          <w:p w:rsidR="0091254E" w:rsidRPr="00E827B1" w:rsidRDefault="0091254E" w:rsidP="004A5A92"/>
        </w:tc>
        <w:tc>
          <w:tcPr>
            <w:tcW w:w="1393" w:type="dxa"/>
            <w:vMerge/>
          </w:tcPr>
          <w:p w:rsidR="0091254E" w:rsidRPr="00E827B1" w:rsidRDefault="0091254E" w:rsidP="004A5A92"/>
        </w:tc>
        <w:tc>
          <w:tcPr>
            <w:tcW w:w="1276" w:type="dxa"/>
            <w:vMerge/>
          </w:tcPr>
          <w:p w:rsidR="0091254E" w:rsidRPr="00E827B1" w:rsidRDefault="0091254E" w:rsidP="004A5A92"/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jc w:val="center"/>
            </w:pPr>
            <w:r w:rsidRPr="00E827B1">
              <w:rPr>
                <w:sz w:val="22"/>
              </w:rPr>
              <w:t>2025 год</w:t>
            </w:r>
          </w:p>
        </w:tc>
        <w:tc>
          <w:tcPr>
            <w:tcW w:w="1643" w:type="dxa"/>
            <w:vMerge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Проведение анализа заявлений, обращений граждан на предмет наличия информации о фактах необоснованного ограничения конкуренции со стороны муниципальных органов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Управляющий делами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Выявление и исключение фактов необоснованного ограничения конкуренции со стороны муниципальных органов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Проведение социологического опроса субъектов предпринимательской деятельности о состоянии конкурентной среды на рынках товаров и услуг на территории Прохладненского муниципального района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Ежегодно, ноябрь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Повышение показателей удовлетворенности субъектов предпринимательской деятельности государственными и муниципальными услугами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Актуализация и публикация в СМИ реестра муниципальных </w:t>
            </w:r>
            <w:r w:rsidRPr="00E827B1">
              <w:rPr>
                <w:rFonts w:ascii="Times New Roman" w:hAnsi="Times New Roman" w:cs="Times New Roman"/>
              </w:rPr>
              <w:lastRenderedPageBreak/>
              <w:t>и государственных услуг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 xml:space="preserve">Отдел экономического анализа и </w:t>
            </w:r>
            <w:r w:rsidRPr="00E827B1">
              <w:rPr>
                <w:rFonts w:ascii="Times New Roman" w:hAnsi="Times New Roman" w:cs="Times New Roman"/>
              </w:rPr>
              <w:lastRenderedPageBreak/>
              <w:t>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Повышение информированности населения </w:t>
            </w:r>
            <w:r w:rsidRPr="00E827B1">
              <w:rPr>
                <w:rFonts w:ascii="Times New Roman" w:hAnsi="Times New Roman" w:cs="Times New Roman"/>
              </w:rPr>
              <w:lastRenderedPageBreak/>
              <w:t>о предоставляемых муниципальных и государственных услугах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Проведение оценки регулирующего воздействия проектов муниципальных нормативно-правовых актов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Ежегодно, 2 раза в год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Выявление положений, вводящих избыточные обязанности, запреты и ограничения для субъектов предпринимательской деятельности, или способствующих их введению (в том числе негативно воздействующие на состояние конкуренции)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Обеспечение прозрачности деятельности в области согласования документации по выдаче разрешений на строительство и ввод объектов в эксплуатацию, в том числе с проведением мониторинга эффективности оказания </w:t>
            </w:r>
            <w:r w:rsidRPr="00E827B1">
              <w:rPr>
                <w:rFonts w:ascii="Times New Roman" w:hAnsi="Times New Roman" w:cs="Times New Roman"/>
              </w:rPr>
              <w:lastRenderedPageBreak/>
              <w:t>муниципальной услуги по выдаче разрешений на строительство и ввод объектов в эксплуатацию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Отдел архитектуры и градостроительства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Упрощение процедуры согласования документации по выдаче разрешений на строительство и ввод объектов в эксплуатацию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Организация совместно с потребителями и иными заинтересованными сторонами мониторинга за соблюдением установленных сроков, порядка и условий исполнения договоров на подключение и поставку энергоресурсов, ресурсов со стороны организаций коммунального комплекса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Управление строительства, архитектуры, промышленности, энергетики, транспорта, связи, ЖКХ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Ежегодно, декабрь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Контроль качественного и своевременного предоставления услуг в сфере жилищно-коммунального хозяйства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Развитие системы закупок, направленной на расширение возможностей поиска информации потенциальными участниками размещения заказа о торгах, проводимых государственными и муниципальными заказчиками, и расширение </w:t>
            </w:r>
            <w:proofErr w:type="gramStart"/>
            <w:r w:rsidRPr="00E827B1">
              <w:rPr>
                <w:rFonts w:ascii="Times New Roman" w:hAnsi="Times New Roman" w:cs="Times New Roman"/>
              </w:rPr>
              <w:t>числа потенциальных участников процедур размещения заказа</w:t>
            </w:r>
            <w:proofErr w:type="gramEnd"/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Отдел муниципальных закупок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количества участников закупок и повышение эффективности и прозрачности процедур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Проведение работы по </w:t>
            </w:r>
            <w:r w:rsidRPr="00E827B1">
              <w:rPr>
                <w:rFonts w:ascii="Times New Roman" w:hAnsi="Times New Roman" w:cs="Times New Roman"/>
              </w:rPr>
              <w:lastRenderedPageBreak/>
              <w:t>информированию субъектов малого и среднего предпринимательства о мерах государственной поддержки, финансовых ресурсах, предоставляемых кредитными организациями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E827B1">
              <w:rPr>
                <w:rFonts w:ascii="Times New Roman" w:hAnsi="Times New Roman" w:cs="Times New Roman"/>
              </w:rPr>
              <w:lastRenderedPageBreak/>
              <w:t>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</w:t>
            </w:r>
            <w:r w:rsidRPr="00E827B1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E827B1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Повышение </w:t>
            </w:r>
            <w:r w:rsidRPr="00E827B1">
              <w:rPr>
                <w:rFonts w:ascii="Times New Roman" w:hAnsi="Times New Roman" w:cs="Times New Roman"/>
              </w:rPr>
              <w:lastRenderedPageBreak/>
              <w:t>информационной грамотности субъектов малого и среднего предпринимательства о мерах государственной поддержки, финансовых ресурсах, предоставляемых кредитными организациями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Проведение совещаний с </w:t>
            </w:r>
            <w:proofErr w:type="spellStart"/>
            <w:r w:rsidRPr="00E827B1">
              <w:rPr>
                <w:rFonts w:ascii="Times New Roman" w:hAnsi="Times New Roman" w:cs="Times New Roman"/>
              </w:rPr>
              <w:t>сельхозтоваропроизводителями</w:t>
            </w:r>
            <w:proofErr w:type="spellEnd"/>
            <w:r w:rsidRPr="00E827B1">
              <w:rPr>
                <w:rFonts w:ascii="Times New Roman" w:hAnsi="Times New Roman" w:cs="Times New Roman"/>
              </w:rPr>
              <w:t xml:space="preserve"> по выявлению и устранению административных и организационных барьеров, содействие созданию союзов (ассоциаций, кооперативов), объединяющих производителей продукции, ее переработчиков, реализующих готовую продукцию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Управление сельского хозяйства и продовольствия местной администрации Прохладненского муниципального района, 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количества сельскохозяйственных кооперативов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Расширение практики прямых продаж сельскохозяйственных товаров населению, в том числе через рынки и ярмарки выходного дня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местной администрации </w:t>
            </w:r>
            <w:r w:rsidRPr="00E827B1">
              <w:rPr>
                <w:rFonts w:ascii="Times New Roman" w:hAnsi="Times New Roman" w:cs="Times New Roman"/>
              </w:rPr>
              <w:lastRenderedPageBreak/>
              <w:t>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Расширение рынка сбыта продукции </w:t>
            </w:r>
            <w:proofErr w:type="spellStart"/>
            <w:r w:rsidRPr="00E827B1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E827B1">
              <w:rPr>
                <w:rFonts w:ascii="Times New Roman" w:hAnsi="Times New Roman" w:cs="Times New Roman"/>
              </w:rPr>
              <w:t xml:space="preserve">, повышение </w:t>
            </w:r>
            <w:r w:rsidRPr="00E827B1">
              <w:rPr>
                <w:rFonts w:ascii="Times New Roman" w:hAnsi="Times New Roman" w:cs="Times New Roman"/>
              </w:rPr>
              <w:lastRenderedPageBreak/>
              <w:t>экономической доступности товаров для населения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Выявление и содействие в постановке на налоговый учет участников рынка, осуществляющих добычу полезных ископаемых на территории района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Управление сельского хозяйства и продовольствия местной администрации Прохладненского муниципального района (уполномоченный орган по осуществлению земельного контроля)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Появление доли субъектов малого и среднего предпринимательства на рынке строительных материалов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Увеличение количества отделений МКУ </w:t>
            </w:r>
            <w:proofErr w:type="gramStart"/>
            <w:r w:rsidRPr="00E827B1">
              <w:rPr>
                <w:rFonts w:ascii="Times New Roman" w:hAnsi="Times New Roman" w:cs="Times New Roman"/>
              </w:rPr>
              <w:t>ДО</w:t>
            </w:r>
            <w:proofErr w:type="gramEnd"/>
            <w:r w:rsidRPr="00E827B1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E827B1">
              <w:rPr>
                <w:rFonts w:ascii="Times New Roman" w:hAnsi="Times New Roman" w:cs="Times New Roman"/>
              </w:rPr>
              <w:t>Районный</w:t>
            </w:r>
            <w:proofErr w:type="gramEnd"/>
            <w:r w:rsidRPr="00E827B1">
              <w:rPr>
                <w:rFonts w:ascii="Times New Roman" w:hAnsi="Times New Roman" w:cs="Times New Roman"/>
              </w:rPr>
              <w:t xml:space="preserve"> центр детского творчества" в образовательных учреждениях района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МКУ "Управление образования местной администрации Прохладненского муниципального района КБР"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обеспеченности населения учреждениями дополнительного образования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Размещение в СМИ информации и просветительских материалов о порядке создания негосударственных образовательных и дошкольных учреждений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МКУ "Управление образования местной администрации Прохладненского муниципального района КБР"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годы, не реже 1 раза в полугодие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Привлечение негосударственных (частных) организаций (лиц) к осуществлению деятельности в области общего и дошкольного образования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Проведение экспертизы </w:t>
            </w:r>
            <w:r w:rsidRPr="00E827B1">
              <w:rPr>
                <w:rFonts w:ascii="Times New Roman" w:hAnsi="Times New Roman" w:cs="Times New Roman"/>
              </w:rPr>
              <w:lastRenderedPageBreak/>
              <w:t>нормативных правовых актов на предмет выявления факторов, ограничивающих конкуренцию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 xml:space="preserve">Юридический </w:t>
            </w:r>
            <w:r w:rsidRPr="00E827B1">
              <w:rPr>
                <w:rFonts w:ascii="Times New Roman" w:hAnsi="Times New Roman" w:cs="Times New Roman"/>
              </w:rPr>
              <w:lastRenderedPageBreak/>
              <w:t>отдел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 xml:space="preserve">Ежегодно, </w:t>
            </w:r>
            <w:r w:rsidRPr="00E827B1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E827B1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36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Устранение </w:t>
            </w:r>
            <w:r w:rsidRPr="00E827B1">
              <w:rPr>
                <w:rFonts w:ascii="Times New Roman" w:hAnsi="Times New Roman" w:cs="Times New Roman"/>
              </w:rPr>
              <w:lastRenderedPageBreak/>
              <w:t>норм, ограничивающих конкуренцию, сокращение нарушений антимонопольного законодательства органами местного самоуправления, повышение качества подготовки нормативных правовых актов, затрагивающих вопросы воздействия на конкуренцию</w:t>
            </w:r>
          </w:p>
        </w:tc>
      </w:tr>
      <w:tr w:rsidR="0091254E" w:rsidRPr="00E827B1" w:rsidTr="004A5A92">
        <w:trPr>
          <w:jc w:val="center"/>
        </w:trPr>
        <w:tc>
          <w:tcPr>
            <w:tcW w:w="568" w:type="dxa"/>
          </w:tcPr>
          <w:p w:rsidR="0091254E" w:rsidRPr="00E827B1" w:rsidRDefault="0091254E" w:rsidP="004A5A92">
            <w:pPr>
              <w:pStyle w:val="ConsPlusNormal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78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Исполнение Плана мероприятий ("дорожная карта") по содействию конкуренции в Прохладненском муниципальном районе на 2022 - 2025 годы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Отраслевые управления и отделы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2019 - 202</w:t>
            </w:r>
            <w:r>
              <w:rPr>
                <w:rFonts w:ascii="Times New Roman" w:hAnsi="Times New Roman" w:cs="Times New Roman"/>
              </w:rPr>
              <w:t>5</w:t>
            </w:r>
            <w:r w:rsidRPr="00E827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254E" w:rsidRPr="004B776A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B77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конкурентной среды на рынках товаров, работ и услуг Прохладненского муниципального района</w:t>
            </w:r>
          </w:p>
        </w:tc>
      </w:tr>
      <w:tr w:rsidR="0091254E" w:rsidRPr="00E827B1" w:rsidTr="004A5A92">
        <w:trPr>
          <w:jc w:val="center"/>
        </w:trPr>
        <w:tc>
          <w:tcPr>
            <w:tcW w:w="3046" w:type="dxa"/>
            <w:gridSpan w:val="2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ВСЕГО ПО ПРОГРАММЕ:</w:t>
            </w:r>
          </w:p>
        </w:tc>
        <w:tc>
          <w:tcPr>
            <w:tcW w:w="188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7B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3" w:type="dxa"/>
            <w:vAlign w:val="center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1254E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254E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254E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254E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254E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254E" w:rsidRPr="00E827B1" w:rsidRDefault="0091254E" w:rsidP="0091254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lastRenderedPageBreak/>
        <w:t>Приложение № 2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к муниципальной целевой программе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«Развитие конкуренции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в Прохладненском муниципальном районе</w:t>
      </w:r>
    </w:p>
    <w:p w:rsidR="0091254E" w:rsidRPr="00E827B1" w:rsidRDefault="0091254E" w:rsidP="0091254E">
      <w:pPr>
        <w:pStyle w:val="ConsPlusNormal"/>
        <w:jc w:val="right"/>
        <w:rPr>
          <w:rFonts w:ascii="Times New Roman" w:hAnsi="Times New Roman" w:cs="Times New Roman"/>
        </w:rPr>
      </w:pPr>
      <w:r w:rsidRPr="00E827B1">
        <w:rPr>
          <w:rFonts w:ascii="Times New Roman" w:hAnsi="Times New Roman" w:cs="Times New Roman"/>
        </w:rPr>
        <w:t>Кабардино-Балкарской Республики»</w:t>
      </w:r>
    </w:p>
    <w:p w:rsidR="0091254E" w:rsidRPr="00E827B1" w:rsidRDefault="0091254E" w:rsidP="0091254E">
      <w:pPr>
        <w:pStyle w:val="ConsPlusNormal"/>
        <w:rPr>
          <w:rFonts w:ascii="Times New Roman" w:hAnsi="Times New Roman" w:cs="Times New Roman"/>
        </w:rPr>
      </w:pPr>
    </w:p>
    <w:p w:rsidR="0091254E" w:rsidRPr="00E827B1" w:rsidRDefault="0091254E" w:rsidP="0091254E">
      <w:pPr>
        <w:pStyle w:val="ConsPlusTitle"/>
        <w:jc w:val="center"/>
      </w:pPr>
      <w:bookmarkStart w:id="2" w:name="P529"/>
      <w:bookmarkEnd w:id="2"/>
      <w:r w:rsidRPr="00E827B1">
        <w:t>СВЕДЕНИЯ</w:t>
      </w:r>
    </w:p>
    <w:p w:rsidR="0091254E" w:rsidRPr="00E827B1" w:rsidRDefault="0091254E" w:rsidP="0091254E">
      <w:pPr>
        <w:pStyle w:val="ConsPlusTitle"/>
        <w:jc w:val="center"/>
      </w:pPr>
      <w:r w:rsidRPr="00E827B1">
        <w:t>О ПОКАЗАТЕЛЯХ (ИНДИКАТОРАХ) МУНИЦИПАЛЬНОЙ ПРОГРАММЫ</w:t>
      </w:r>
    </w:p>
    <w:p w:rsidR="0091254E" w:rsidRPr="00E827B1" w:rsidRDefault="0091254E" w:rsidP="0091254E">
      <w:pPr>
        <w:pStyle w:val="ConsPlusTitle"/>
        <w:jc w:val="center"/>
      </w:pPr>
      <w:r w:rsidRPr="00E827B1">
        <w:t>«РАЗВИТИЕ КОНКУРЕНЦИИ В ПРОХЛАДНЕНСКОМ МУНИЦИПАЛЬНОМ РАЙОНЕ</w:t>
      </w:r>
    </w:p>
    <w:p w:rsidR="0091254E" w:rsidRPr="00E827B1" w:rsidRDefault="0091254E" w:rsidP="0091254E">
      <w:pPr>
        <w:pStyle w:val="ConsPlusTitle"/>
        <w:jc w:val="center"/>
      </w:pPr>
      <w:r w:rsidRPr="00E827B1">
        <w:t xml:space="preserve">КАБАРДИНО-БАЛКАРСКОЙ РЕСПУБЛИКИ» И ИХ </w:t>
      </w:r>
      <w:proofErr w:type="gramStart"/>
      <w:r w:rsidRPr="00E827B1">
        <w:t>ЗНАЧЕНИЯХ</w:t>
      </w:r>
      <w:proofErr w:type="gramEnd"/>
    </w:p>
    <w:p w:rsidR="0091254E" w:rsidRPr="00E827B1" w:rsidRDefault="0091254E" w:rsidP="0091254E">
      <w:pPr>
        <w:spacing w:after="1"/>
      </w:pPr>
    </w:p>
    <w:p w:rsidR="0091254E" w:rsidRPr="00E827B1" w:rsidRDefault="0091254E" w:rsidP="009125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3515"/>
        <w:gridCol w:w="1134"/>
        <w:gridCol w:w="849"/>
        <w:gridCol w:w="803"/>
        <w:gridCol w:w="798"/>
        <w:gridCol w:w="594"/>
        <w:gridCol w:w="839"/>
        <w:gridCol w:w="640"/>
        <w:gridCol w:w="794"/>
        <w:gridCol w:w="702"/>
        <w:gridCol w:w="2629"/>
      </w:tblGrid>
      <w:tr w:rsidR="0091254E" w:rsidRPr="00E827B1" w:rsidTr="004A5A92">
        <w:trPr>
          <w:jc w:val="center"/>
        </w:trPr>
        <w:tc>
          <w:tcPr>
            <w:tcW w:w="675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827B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27B1">
              <w:rPr>
                <w:rFonts w:ascii="Times New Roman" w:hAnsi="Times New Roman" w:cs="Times New Roman"/>
              </w:rPr>
              <w:t>/</w:t>
            </w:r>
            <w:proofErr w:type="spellStart"/>
            <w:r w:rsidRPr="00E827B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15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019" w:type="dxa"/>
            <w:gridSpan w:val="8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2629" w:type="dxa"/>
            <w:vMerge w:val="restart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Отношение </w:t>
            </w:r>
            <w:proofErr w:type="gramStart"/>
            <w:r w:rsidRPr="00E827B1">
              <w:rPr>
                <w:rFonts w:ascii="Times New Roman" w:hAnsi="Times New Roman" w:cs="Times New Roman"/>
              </w:rPr>
              <w:t>значения показателя последнего года реализации программы</w:t>
            </w:r>
            <w:proofErr w:type="gramEnd"/>
            <w:r w:rsidRPr="00E827B1">
              <w:rPr>
                <w:rFonts w:ascii="Times New Roman" w:hAnsi="Times New Roman" w:cs="Times New Roman"/>
              </w:rPr>
              <w:t xml:space="preserve"> к отчетному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  <w:vMerge/>
          </w:tcPr>
          <w:p w:rsidR="0091254E" w:rsidRPr="00E827B1" w:rsidRDefault="0091254E" w:rsidP="004A5A92"/>
        </w:tc>
        <w:tc>
          <w:tcPr>
            <w:tcW w:w="3515" w:type="dxa"/>
            <w:vMerge/>
          </w:tcPr>
          <w:p w:rsidR="0091254E" w:rsidRPr="00E827B1" w:rsidRDefault="0091254E" w:rsidP="004A5A92"/>
        </w:tc>
        <w:tc>
          <w:tcPr>
            <w:tcW w:w="1134" w:type="dxa"/>
            <w:vMerge/>
          </w:tcPr>
          <w:p w:rsidR="0091254E" w:rsidRPr="00E827B1" w:rsidRDefault="0091254E" w:rsidP="004A5A92"/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0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98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9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3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64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9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2" w:type="dxa"/>
          </w:tcPr>
          <w:p w:rsidR="0091254E" w:rsidRPr="00E827B1" w:rsidRDefault="0091254E" w:rsidP="004A5A92">
            <w:pPr>
              <w:jc w:val="center"/>
            </w:pPr>
            <w:r w:rsidRPr="00E827B1">
              <w:rPr>
                <w:sz w:val="22"/>
              </w:rPr>
              <w:t>2025 год</w:t>
            </w:r>
          </w:p>
        </w:tc>
        <w:tc>
          <w:tcPr>
            <w:tcW w:w="2629" w:type="dxa"/>
            <w:vMerge/>
          </w:tcPr>
          <w:p w:rsidR="0091254E" w:rsidRPr="00E827B1" w:rsidRDefault="0091254E" w:rsidP="004A5A92"/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Число участников размещения государственных и муниципальных заказов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10 %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Количество хозяйствующих субъектов, считающих, что состояние конкурентной среды улучшилось за истекший год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15 %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Количество вновь созданных (зарегистрированных) хозяйствующих субъектов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10 %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Количество сельскохозяйственных кооперативов по снабжению, сбыту и переработке сельскохозяйственной продукции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10 %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Количество проведенных ярмарок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5 %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Количество сельскохозяйственных рынков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 xml:space="preserve">Увеличение значения показателя не менее чем </w:t>
            </w:r>
            <w:r w:rsidRPr="00E827B1">
              <w:rPr>
                <w:rFonts w:ascii="Times New Roman" w:hAnsi="Times New Roman" w:cs="Times New Roman"/>
              </w:rPr>
              <w:lastRenderedPageBreak/>
              <w:t>на 5 %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Доля сбыта товаропроизводителями сельскохозяйственной продукции на экспорт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10 %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Срок получения разрешительной документации на строительство и ввод объектов в эксплуатацию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Тенденция снижения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Недопущение превышения уровня 2018 года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Ввод в эксплуатацию жилых домов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15 %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Ввод в эксплуатацию объектов социального значения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15 %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Уровень обеспеченности населения учреждениями дополнительного образования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5 %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Количество земельных участков, переданных в аренду под строительство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0" w:type="dxa"/>
            <w:gridSpan w:val="7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Положительная динамика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Увеличение значения показателя не менее чем на 10 %</w:t>
            </w:r>
          </w:p>
        </w:tc>
      </w:tr>
      <w:tr w:rsidR="0091254E" w:rsidRPr="00E827B1" w:rsidTr="004A5A92">
        <w:trPr>
          <w:jc w:val="center"/>
        </w:trPr>
        <w:tc>
          <w:tcPr>
            <w:tcW w:w="675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15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Выявление факторов, ограничивающих конкуренцию при принятии нормативно-правовых актов</w:t>
            </w:r>
          </w:p>
        </w:tc>
        <w:tc>
          <w:tcPr>
            <w:tcW w:w="113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91254E" w:rsidRPr="00E827B1" w:rsidRDefault="0091254E" w:rsidP="004A5A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91254E" w:rsidRPr="00E827B1" w:rsidRDefault="0091254E" w:rsidP="004A5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7B1">
              <w:rPr>
                <w:rFonts w:ascii="Times New Roman" w:hAnsi="Times New Roman" w:cs="Times New Roman"/>
              </w:rPr>
              <w:t>Недопущение факторов, ограничивающих конкуренцию при принятии нормативно-правовых актов</w:t>
            </w:r>
          </w:p>
        </w:tc>
      </w:tr>
    </w:tbl>
    <w:p w:rsidR="001C05DF" w:rsidRDefault="001C05DF" w:rsidP="0091254E">
      <w:pPr>
        <w:widowControl w:val="0"/>
        <w:jc w:val="both"/>
        <w:rPr>
          <w:szCs w:val="26"/>
        </w:rPr>
      </w:pPr>
    </w:p>
    <w:sectPr w:rsidR="001C05DF" w:rsidSect="0091254E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97C"/>
    <w:rsid w:val="00027A78"/>
    <w:rsid w:val="00053717"/>
    <w:rsid w:val="000558B5"/>
    <w:rsid w:val="000C07BF"/>
    <w:rsid w:val="001136D5"/>
    <w:rsid w:val="00152D19"/>
    <w:rsid w:val="00170042"/>
    <w:rsid w:val="00187190"/>
    <w:rsid w:val="00192A0D"/>
    <w:rsid w:val="0019614E"/>
    <w:rsid w:val="001C05DF"/>
    <w:rsid w:val="001C7CBB"/>
    <w:rsid w:val="0021264A"/>
    <w:rsid w:val="00285186"/>
    <w:rsid w:val="00343025"/>
    <w:rsid w:val="003455EA"/>
    <w:rsid w:val="003457A9"/>
    <w:rsid w:val="00366262"/>
    <w:rsid w:val="00375E99"/>
    <w:rsid w:val="00383C4D"/>
    <w:rsid w:val="00386D40"/>
    <w:rsid w:val="00392B53"/>
    <w:rsid w:val="003E4C73"/>
    <w:rsid w:val="003F431E"/>
    <w:rsid w:val="0040096D"/>
    <w:rsid w:val="00410A9F"/>
    <w:rsid w:val="004215E2"/>
    <w:rsid w:val="00432466"/>
    <w:rsid w:val="004625C9"/>
    <w:rsid w:val="004759BF"/>
    <w:rsid w:val="004D1FD0"/>
    <w:rsid w:val="0052121B"/>
    <w:rsid w:val="00534E3B"/>
    <w:rsid w:val="00543F17"/>
    <w:rsid w:val="005501D7"/>
    <w:rsid w:val="00552C99"/>
    <w:rsid w:val="00557018"/>
    <w:rsid w:val="005924AB"/>
    <w:rsid w:val="00592CBB"/>
    <w:rsid w:val="0059466A"/>
    <w:rsid w:val="005B5492"/>
    <w:rsid w:val="005D76D5"/>
    <w:rsid w:val="005F444C"/>
    <w:rsid w:val="00641150"/>
    <w:rsid w:val="006D6471"/>
    <w:rsid w:val="00706162"/>
    <w:rsid w:val="00712146"/>
    <w:rsid w:val="00742077"/>
    <w:rsid w:val="00775267"/>
    <w:rsid w:val="007844C7"/>
    <w:rsid w:val="007A6906"/>
    <w:rsid w:val="007A697C"/>
    <w:rsid w:val="00801DFB"/>
    <w:rsid w:val="008112FC"/>
    <w:rsid w:val="00835D20"/>
    <w:rsid w:val="00863B18"/>
    <w:rsid w:val="00874E3B"/>
    <w:rsid w:val="008B28E1"/>
    <w:rsid w:val="008F65C8"/>
    <w:rsid w:val="0091254E"/>
    <w:rsid w:val="00920682"/>
    <w:rsid w:val="0094491B"/>
    <w:rsid w:val="00946B37"/>
    <w:rsid w:val="009B164E"/>
    <w:rsid w:val="009D1424"/>
    <w:rsid w:val="00A03389"/>
    <w:rsid w:val="00A43545"/>
    <w:rsid w:val="00A642C5"/>
    <w:rsid w:val="00B964C6"/>
    <w:rsid w:val="00BA3915"/>
    <w:rsid w:val="00BB0588"/>
    <w:rsid w:val="00BE4B32"/>
    <w:rsid w:val="00BE514D"/>
    <w:rsid w:val="00BF4C17"/>
    <w:rsid w:val="00BF7692"/>
    <w:rsid w:val="00C2063F"/>
    <w:rsid w:val="00C524F8"/>
    <w:rsid w:val="00C54EA5"/>
    <w:rsid w:val="00C57D51"/>
    <w:rsid w:val="00C7272E"/>
    <w:rsid w:val="00C905F7"/>
    <w:rsid w:val="00CC19AD"/>
    <w:rsid w:val="00CC4C0E"/>
    <w:rsid w:val="00CE2354"/>
    <w:rsid w:val="00D27E7F"/>
    <w:rsid w:val="00D424E4"/>
    <w:rsid w:val="00D429AC"/>
    <w:rsid w:val="00D601E3"/>
    <w:rsid w:val="00D60504"/>
    <w:rsid w:val="00D61536"/>
    <w:rsid w:val="00D75E71"/>
    <w:rsid w:val="00DA71DB"/>
    <w:rsid w:val="00DD74B6"/>
    <w:rsid w:val="00DE0F10"/>
    <w:rsid w:val="00DF6FD8"/>
    <w:rsid w:val="00E51000"/>
    <w:rsid w:val="00E773A4"/>
    <w:rsid w:val="00E9030D"/>
    <w:rsid w:val="00E97B96"/>
    <w:rsid w:val="00E97F10"/>
    <w:rsid w:val="00F37CE5"/>
    <w:rsid w:val="00F434A9"/>
    <w:rsid w:val="00F450B8"/>
    <w:rsid w:val="00FC6CF4"/>
    <w:rsid w:val="00FD20DE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2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063F"/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91254E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254E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rmal (Web)"/>
    <w:basedOn w:val="a"/>
    <w:uiPriority w:val="99"/>
    <w:rsid w:val="009125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ekon2</cp:lastModifiedBy>
  <cp:revision>83</cp:revision>
  <cp:lastPrinted>2021-05-20T08:40:00Z</cp:lastPrinted>
  <dcterms:created xsi:type="dcterms:W3CDTF">2018-02-27T11:09:00Z</dcterms:created>
  <dcterms:modified xsi:type="dcterms:W3CDTF">2023-12-28T07:12:00Z</dcterms:modified>
</cp:coreProperties>
</file>