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A5" w:rsidRPr="00BF7692" w:rsidRDefault="00706162" w:rsidP="00D6153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>бщественно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61536" w:rsidRPr="00BF7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5E2" w:rsidRPr="00BF769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муниципального нормативного правового акта местной администрации Прохладненского муниципального района </w:t>
      </w:r>
      <w:r w:rsidR="00C54EA5" w:rsidRPr="00BF7692">
        <w:rPr>
          <w:rFonts w:ascii="Times New Roman" w:hAnsi="Times New Roman" w:cs="Times New Roman"/>
          <w:b/>
          <w:sz w:val="28"/>
          <w:szCs w:val="28"/>
        </w:rPr>
        <w:t>«О внесении изменений в муниципальную программу «Развитие конкуренции в Прохладненском муниципальном районе Кабардино-Балкарской Республики»</w:t>
      </w:r>
    </w:p>
    <w:p w:rsidR="004215E2" w:rsidRPr="00BF7692" w:rsidRDefault="004215E2" w:rsidP="00CC19AD">
      <w:pPr>
        <w:spacing w:line="276" w:lineRule="auto"/>
        <w:ind w:firstLine="708"/>
        <w:jc w:val="right"/>
        <w:rPr>
          <w:sz w:val="28"/>
          <w:szCs w:val="28"/>
        </w:rPr>
      </w:pPr>
    </w:p>
    <w:p w:rsidR="00D61536" w:rsidRPr="00BF7692" w:rsidRDefault="00D61536" w:rsidP="00D61536">
      <w:pPr>
        <w:spacing w:line="276" w:lineRule="auto"/>
        <w:ind w:firstLine="708"/>
        <w:jc w:val="right"/>
        <w:rPr>
          <w:sz w:val="28"/>
          <w:szCs w:val="28"/>
        </w:rPr>
      </w:pPr>
      <w:r w:rsidRPr="00BF7692">
        <w:rPr>
          <w:sz w:val="28"/>
          <w:szCs w:val="28"/>
        </w:rPr>
        <w:t>«1</w:t>
      </w:r>
      <w:r w:rsidR="00352A39">
        <w:rPr>
          <w:sz w:val="28"/>
          <w:szCs w:val="28"/>
        </w:rPr>
        <w:t>8</w:t>
      </w:r>
      <w:r w:rsidRPr="00BF7692">
        <w:rPr>
          <w:sz w:val="28"/>
          <w:szCs w:val="28"/>
        </w:rPr>
        <w:t xml:space="preserve">» </w:t>
      </w:r>
      <w:r w:rsidR="00352A39">
        <w:rPr>
          <w:sz w:val="28"/>
          <w:szCs w:val="28"/>
        </w:rPr>
        <w:t xml:space="preserve">марта </w:t>
      </w:r>
      <w:r w:rsidRPr="00BF7692">
        <w:rPr>
          <w:sz w:val="28"/>
          <w:szCs w:val="28"/>
        </w:rPr>
        <w:t>202</w:t>
      </w:r>
      <w:r w:rsidR="00352A39">
        <w:rPr>
          <w:sz w:val="28"/>
          <w:szCs w:val="28"/>
        </w:rPr>
        <w:t>5</w:t>
      </w:r>
      <w:r w:rsidRPr="00BF7692">
        <w:rPr>
          <w:sz w:val="28"/>
          <w:szCs w:val="28"/>
        </w:rPr>
        <w:t xml:space="preserve"> года</w:t>
      </w:r>
    </w:p>
    <w:p w:rsidR="00D61536" w:rsidRPr="00BF7692" w:rsidRDefault="00D61536" w:rsidP="00D61536">
      <w:pPr>
        <w:spacing w:line="276" w:lineRule="auto"/>
        <w:ind w:firstLine="709"/>
        <w:jc w:val="both"/>
        <w:rPr>
          <w:sz w:val="28"/>
          <w:szCs w:val="28"/>
        </w:rPr>
      </w:pPr>
    </w:p>
    <w:p w:rsidR="00CE2354" w:rsidRPr="00BF7692" w:rsidRDefault="00D61536" w:rsidP="00D6153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F7692">
        <w:rPr>
          <w:sz w:val="28"/>
          <w:szCs w:val="28"/>
        </w:rPr>
        <w:t>В соответствии с пунктом 3.9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</w:t>
      </w:r>
      <w:r w:rsidRPr="00BF7692">
        <w:rPr>
          <w:bCs/>
          <w:sz w:val="28"/>
          <w:szCs w:val="28"/>
        </w:rPr>
        <w:t>, утвержденным п</w:t>
      </w:r>
      <w:r w:rsidRPr="00BF7692">
        <w:rPr>
          <w:sz w:val="28"/>
          <w:szCs w:val="28"/>
        </w:rPr>
        <w:t xml:space="preserve">остановлением местной администрации Прохладненского муниципального района КБР № 720 от 01.12.2023 года, </w:t>
      </w:r>
      <w:r w:rsidR="00A43545" w:rsidRPr="00BF7692">
        <w:rPr>
          <w:sz w:val="28"/>
          <w:szCs w:val="28"/>
        </w:rPr>
        <w:t>отде</w:t>
      </w:r>
      <w:r w:rsidR="00CE2354" w:rsidRPr="00BF7692">
        <w:rPr>
          <w:sz w:val="28"/>
          <w:szCs w:val="28"/>
        </w:rPr>
        <w:t xml:space="preserve">л экономического анализа и контроля бюджетных ресурсов местной администрации Прохладненского муниципального района </w:t>
      </w:r>
      <w:r w:rsidR="00192A0D" w:rsidRPr="00BF7692">
        <w:rPr>
          <w:sz w:val="28"/>
          <w:szCs w:val="28"/>
        </w:rPr>
        <w:t xml:space="preserve">проводит публичные консультации в отношении </w:t>
      </w:r>
      <w:r w:rsidR="00CE2354" w:rsidRPr="00BF7692">
        <w:rPr>
          <w:sz w:val="28"/>
          <w:szCs w:val="28"/>
        </w:rPr>
        <w:t>проекта муниципального нормативного правового акта местной администрации Прохладненского муниципального</w:t>
      </w:r>
      <w:proofErr w:type="gramEnd"/>
      <w:r w:rsidR="00CE2354" w:rsidRPr="00BF7692">
        <w:rPr>
          <w:sz w:val="28"/>
          <w:szCs w:val="28"/>
        </w:rPr>
        <w:t xml:space="preserve"> района </w:t>
      </w:r>
      <w:r w:rsidR="00C54EA5" w:rsidRPr="00BF7692">
        <w:rPr>
          <w:sz w:val="28"/>
          <w:szCs w:val="28"/>
        </w:rPr>
        <w:t xml:space="preserve">«О внесении изменений в муниципальную программу «Развитие конкуренции в Прохладненском муниципальном районе Кабардино-Балкарской Республики» </w:t>
      </w:r>
      <w:r w:rsidR="003E4C73" w:rsidRPr="00BF7692">
        <w:rPr>
          <w:sz w:val="28"/>
          <w:szCs w:val="28"/>
        </w:rPr>
        <w:t xml:space="preserve">(далее – </w:t>
      </w:r>
      <w:r w:rsidR="00192A0D" w:rsidRPr="00BF7692">
        <w:rPr>
          <w:sz w:val="28"/>
          <w:szCs w:val="28"/>
        </w:rPr>
        <w:t>МНПА</w:t>
      </w:r>
      <w:r w:rsidR="003E4C73" w:rsidRPr="00BF7692">
        <w:rPr>
          <w:sz w:val="28"/>
          <w:szCs w:val="28"/>
        </w:rPr>
        <w:t>)</w:t>
      </w:r>
      <w:r w:rsidR="00CE2354" w:rsidRPr="00BF7692">
        <w:rPr>
          <w:sz w:val="28"/>
          <w:szCs w:val="28"/>
        </w:rPr>
        <w:t>.</w:t>
      </w:r>
    </w:p>
    <w:p w:rsidR="00352A39" w:rsidRDefault="000558B5" w:rsidP="00352A39">
      <w:pPr>
        <w:spacing w:line="276" w:lineRule="auto"/>
        <w:ind w:firstLine="709"/>
        <w:jc w:val="both"/>
        <w:rPr>
          <w:sz w:val="28"/>
          <w:szCs w:val="28"/>
        </w:rPr>
      </w:pPr>
      <w:r w:rsidRPr="00BF7692">
        <w:rPr>
          <w:sz w:val="28"/>
          <w:szCs w:val="28"/>
        </w:rPr>
        <w:t xml:space="preserve">Инициатор проведения экспертизы: </w:t>
      </w:r>
      <w:r w:rsidR="00CE2354" w:rsidRPr="00BF7692">
        <w:rPr>
          <w:sz w:val="28"/>
          <w:szCs w:val="28"/>
        </w:rPr>
        <w:t xml:space="preserve">отдел экономического анализа и контроля бюджетных ресурсов местной администрации Прохладненского муниципального района </w:t>
      </w:r>
      <w:r w:rsidR="00A642C5" w:rsidRPr="00BF7692">
        <w:rPr>
          <w:sz w:val="28"/>
          <w:szCs w:val="28"/>
        </w:rPr>
        <w:t>КБР.</w:t>
      </w:r>
    </w:p>
    <w:p w:rsidR="00352A39" w:rsidRDefault="00352A39" w:rsidP="00352A39">
      <w:pPr>
        <w:spacing w:line="276" w:lineRule="auto"/>
        <w:ind w:firstLine="709"/>
        <w:jc w:val="both"/>
        <w:rPr>
          <w:sz w:val="28"/>
          <w:szCs w:val="28"/>
        </w:rPr>
      </w:pPr>
      <w:r w:rsidRPr="00BB2381">
        <w:rPr>
          <w:sz w:val="28"/>
          <w:szCs w:val="28"/>
        </w:rPr>
        <w:t>Прием замечаний, предложений и иной информации по МНПА, будет осуществляться с 1</w:t>
      </w:r>
      <w:r>
        <w:rPr>
          <w:sz w:val="28"/>
          <w:szCs w:val="28"/>
        </w:rPr>
        <w:t xml:space="preserve">8 марта </w:t>
      </w:r>
      <w:r w:rsidRPr="00BB238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B2381">
        <w:rPr>
          <w:sz w:val="28"/>
          <w:szCs w:val="28"/>
        </w:rPr>
        <w:t xml:space="preserve"> года до 2</w:t>
      </w:r>
      <w:r>
        <w:rPr>
          <w:sz w:val="28"/>
          <w:szCs w:val="28"/>
        </w:rPr>
        <w:t xml:space="preserve">4 марта </w:t>
      </w:r>
      <w:r w:rsidRPr="00BB238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B2381">
        <w:rPr>
          <w:sz w:val="28"/>
          <w:szCs w:val="28"/>
        </w:rPr>
        <w:t xml:space="preserve"> года на электронную почту: </w:t>
      </w:r>
      <w:proofErr w:type="spellStart"/>
      <w:r>
        <w:rPr>
          <w:sz w:val="28"/>
          <w:szCs w:val="28"/>
          <w:lang w:val="en-US"/>
        </w:rPr>
        <w:t>adminprohr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kbr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B2381">
        <w:rPr>
          <w:sz w:val="28"/>
          <w:szCs w:val="28"/>
        </w:rPr>
        <w:t xml:space="preserve"> или по адресу: 361045, КБР, г. Прохладный, ул. Гагарина, 47, четвертый этаж, кабинет № 408, Местная администрация Прохладненского муниципального района КБР. Контактное лицо по вопросам, обсуждаемым в ходе проведения публичных консультаций: </w:t>
      </w:r>
      <w:proofErr w:type="spellStart"/>
      <w:r>
        <w:rPr>
          <w:sz w:val="28"/>
          <w:szCs w:val="28"/>
        </w:rPr>
        <w:t>Логвинова</w:t>
      </w:r>
      <w:proofErr w:type="spellEnd"/>
      <w:r>
        <w:rPr>
          <w:sz w:val="28"/>
          <w:szCs w:val="28"/>
        </w:rPr>
        <w:t xml:space="preserve"> Ирина Петровна, телефон:</w:t>
      </w:r>
      <w:r w:rsidRPr="00BB2381">
        <w:rPr>
          <w:sz w:val="28"/>
          <w:szCs w:val="28"/>
        </w:rPr>
        <w:t xml:space="preserve"> 8 (86631) 4-10-34.</w:t>
      </w:r>
    </w:p>
    <w:p w:rsidR="00D61536" w:rsidRDefault="00D61536" w:rsidP="00352A3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F7692">
        <w:rPr>
          <w:sz w:val="28"/>
          <w:szCs w:val="28"/>
        </w:rPr>
        <w:t>Пост</w:t>
      </w:r>
      <w:bookmarkStart w:id="0" w:name="_GoBack"/>
      <w:bookmarkEnd w:id="0"/>
      <w:r w:rsidRPr="00BF7692">
        <w:rPr>
          <w:sz w:val="28"/>
          <w:szCs w:val="28"/>
        </w:rPr>
        <w:t>упившие в ходе общественного обсуждения замечания, предложения, рекомендации, сведения (расчеты, обоснования), информационно-аналитические материалы, подлежат рассмотрению во взаимосвязи со сложившейся практикой их применения, учитывается их соответствие принципам</w:t>
      </w:r>
      <w:r w:rsidRPr="00C2063F">
        <w:rPr>
          <w:sz w:val="28"/>
          <w:szCs w:val="28"/>
        </w:rPr>
        <w:t xml:space="preserve"> правового регулирования, установленным законодательством Российской Федерации,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МНПА.</w:t>
      </w:r>
      <w:proofErr w:type="gramEnd"/>
    </w:p>
    <w:p w:rsidR="00A84F8A" w:rsidRDefault="00A84F8A" w:rsidP="00352A39">
      <w:pPr>
        <w:spacing w:line="276" w:lineRule="auto"/>
        <w:ind w:firstLine="709"/>
        <w:jc w:val="both"/>
        <w:rPr>
          <w:sz w:val="28"/>
          <w:szCs w:val="28"/>
        </w:rPr>
      </w:pPr>
    </w:p>
    <w:p w:rsidR="00A84F8A" w:rsidRDefault="00A84F8A" w:rsidP="00352A39">
      <w:pPr>
        <w:spacing w:line="276" w:lineRule="auto"/>
        <w:ind w:firstLine="709"/>
        <w:jc w:val="both"/>
        <w:rPr>
          <w:sz w:val="28"/>
          <w:szCs w:val="28"/>
        </w:rPr>
      </w:pPr>
    </w:p>
    <w:p w:rsidR="00A84F8A" w:rsidRDefault="00A84F8A" w:rsidP="00352A39">
      <w:pPr>
        <w:spacing w:line="276" w:lineRule="auto"/>
        <w:ind w:firstLine="709"/>
        <w:jc w:val="both"/>
        <w:rPr>
          <w:sz w:val="28"/>
          <w:szCs w:val="28"/>
        </w:rPr>
      </w:pPr>
    </w:p>
    <w:p w:rsidR="00A84F8A" w:rsidRDefault="00A84F8A" w:rsidP="00352A39">
      <w:pPr>
        <w:spacing w:line="276" w:lineRule="auto"/>
        <w:ind w:firstLine="709"/>
        <w:jc w:val="both"/>
        <w:rPr>
          <w:sz w:val="28"/>
          <w:szCs w:val="28"/>
        </w:rPr>
      </w:pPr>
    </w:p>
    <w:p w:rsidR="00352A39" w:rsidRPr="004A33B4" w:rsidRDefault="00352A39" w:rsidP="00352A39">
      <w:pPr>
        <w:jc w:val="center"/>
        <w:rPr>
          <w:sz w:val="28"/>
          <w:szCs w:val="28"/>
        </w:rPr>
      </w:pPr>
      <w:r w:rsidRPr="004A33B4">
        <w:rPr>
          <w:sz w:val="28"/>
          <w:szCs w:val="28"/>
        </w:rPr>
        <w:lastRenderedPageBreak/>
        <w:t>ПРОЕКТ</w:t>
      </w:r>
    </w:p>
    <w:p w:rsidR="00352A39" w:rsidRPr="00E827B1" w:rsidRDefault="00352A39" w:rsidP="00352A39">
      <w:pPr>
        <w:jc w:val="center"/>
        <w:rPr>
          <w:sz w:val="28"/>
          <w:szCs w:val="28"/>
        </w:rPr>
      </w:pPr>
      <w:r w:rsidRPr="00E827B1">
        <w:rPr>
          <w:sz w:val="28"/>
          <w:szCs w:val="28"/>
        </w:rPr>
        <w:t>постановления местной администрации</w:t>
      </w:r>
    </w:p>
    <w:p w:rsidR="00352A39" w:rsidRPr="00E827B1" w:rsidRDefault="00352A39" w:rsidP="00352A39">
      <w:pPr>
        <w:jc w:val="center"/>
        <w:rPr>
          <w:sz w:val="28"/>
          <w:szCs w:val="28"/>
        </w:rPr>
      </w:pPr>
      <w:r w:rsidRPr="00E827B1">
        <w:rPr>
          <w:sz w:val="28"/>
          <w:szCs w:val="28"/>
        </w:rPr>
        <w:t>Прохладненского муниципального района</w:t>
      </w:r>
    </w:p>
    <w:p w:rsidR="00352A39" w:rsidRPr="00E827B1" w:rsidRDefault="00352A39" w:rsidP="00352A39">
      <w:pPr>
        <w:rPr>
          <w:sz w:val="28"/>
          <w:szCs w:val="28"/>
        </w:rPr>
      </w:pPr>
    </w:p>
    <w:p w:rsidR="00352A39" w:rsidRPr="00E827B1" w:rsidRDefault="00352A39" w:rsidP="00352A39">
      <w:pPr>
        <w:rPr>
          <w:sz w:val="28"/>
          <w:szCs w:val="28"/>
        </w:rPr>
      </w:pPr>
      <w:r w:rsidRPr="00E827B1">
        <w:rPr>
          <w:sz w:val="28"/>
          <w:szCs w:val="28"/>
        </w:rPr>
        <w:t>«___» __________ 202</w:t>
      </w:r>
      <w:r>
        <w:rPr>
          <w:sz w:val="28"/>
          <w:szCs w:val="28"/>
        </w:rPr>
        <w:t>5</w:t>
      </w:r>
      <w:r w:rsidRPr="00E827B1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</w:t>
      </w:r>
      <w:r w:rsidRPr="00E827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827B1">
        <w:rPr>
          <w:sz w:val="28"/>
          <w:szCs w:val="28"/>
        </w:rPr>
        <w:t xml:space="preserve">                                         № _____</w:t>
      </w:r>
    </w:p>
    <w:p w:rsidR="00352A39" w:rsidRPr="00E827B1" w:rsidRDefault="00352A39" w:rsidP="00352A39">
      <w:pPr>
        <w:rPr>
          <w:sz w:val="28"/>
          <w:szCs w:val="28"/>
        </w:rPr>
      </w:pPr>
    </w:p>
    <w:p w:rsidR="00352A39" w:rsidRPr="007658E9" w:rsidRDefault="00352A39" w:rsidP="00352A39">
      <w:pPr>
        <w:pStyle w:val="3"/>
        <w:rPr>
          <w:b w:val="0"/>
          <w:szCs w:val="28"/>
        </w:rPr>
      </w:pPr>
      <w:r w:rsidRPr="00E827B1">
        <w:rPr>
          <w:b w:val="0"/>
          <w:szCs w:val="28"/>
        </w:rPr>
        <w:t xml:space="preserve">«О внесении изменений в </w:t>
      </w:r>
      <w:r w:rsidRPr="007658E9">
        <w:rPr>
          <w:b w:val="0"/>
          <w:szCs w:val="28"/>
        </w:rPr>
        <w:t>муниципальную программу</w:t>
      </w:r>
    </w:p>
    <w:p w:rsidR="00352A39" w:rsidRPr="00F17E39" w:rsidRDefault="00352A39" w:rsidP="00352A39">
      <w:pPr>
        <w:pStyle w:val="3"/>
        <w:rPr>
          <w:b w:val="0"/>
          <w:szCs w:val="28"/>
        </w:rPr>
      </w:pPr>
      <w:r w:rsidRPr="007658E9">
        <w:rPr>
          <w:b w:val="0"/>
          <w:szCs w:val="28"/>
        </w:rPr>
        <w:t>«Развитие конкуренции в Прохладненском муниципальном районе Кабардино-Балкарской Республики»</w:t>
      </w:r>
    </w:p>
    <w:p w:rsidR="00352A39" w:rsidRPr="007658E9" w:rsidRDefault="00352A39" w:rsidP="00352A39">
      <w:pPr>
        <w:pStyle w:val="3"/>
        <w:rPr>
          <w:b w:val="0"/>
          <w:szCs w:val="28"/>
        </w:rPr>
      </w:pPr>
    </w:p>
    <w:p w:rsidR="00352A39" w:rsidRPr="00F97A2C" w:rsidRDefault="00352A39" w:rsidP="00352A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58E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24</w:t>
      </w:r>
      <w:r w:rsidRPr="009E4B2B">
        <w:rPr>
          <w:rFonts w:ascii="Times New Roman" w:hAnsi="Times New Roman" w:cs="Times New Roman"/>
          <w:sz w:val="28"/>
          <w:szCs w:val="28"/>
        </w:rPr>
        <w:t xml:space="preserve">.07.2007 № 209-ФЗ «О развитии малого и среднего предпринимательства </w:t>
      </w:r>
      <w:r w:rsidRPr="00F97A2C">
        <w:rPr>
          <w:rFonts w:ascii="Times New Roman" w:hAnsi="Times New Roman" w:cs="Times New Roman"/>
          <w:sz w:val="28"/>
          <w:szCs w:val="28"/>
        </w:rPr>
        <w:t>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РФ от 17.04.2019 № 768-р</w:t>
      </w:r>
      <w:proofErr w:type="gramEnd"/>
      <w:r w:rsidRPr="00F97A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7A2C">
        <w:rPr>
          <w:rFonts w:ascii="Times New Roman" w:hAnsi="Times New Roman" w:cs="Times New Roman"/>
          <w:sz w:val="28"/>
          <w:szCs w:val="28"/>
        </w:rPr>
        <w:t>Законом Кабардино-Балкарской Республики от 03.08.2002 № 52-РЗ «О правовых актах в Кабардино-Балкарской Республике», 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решением Совета местного самоуправления Прохладненского муниципального района КБР от 26.12.2024 № 64/2 «О районном бюджете Прохладненского муниципального района Кабардино-Балкарской Республики на 2025 год и на плановый период 2026 и 2027 годов</w:t>
      </w:r>
      <w:proofErr w:type="gramEnd"/>
      <w:r w:rsidRPr="00F97A2C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F97A2C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Кабардино-Балкарской Республики от 01.12.2023 № 720 «</w:t>
      </w:r>
      <w:r w:rsidRPr="00F97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КБР», </w:t>
      </w:r>
      <w:r w:rsidRPr="00F97A2C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Кабардино-Балкарской Республики от 17.05.2024 № 259 «Об утверждении Перечня муниципальных программ Прохладненского муниципального района КБР», в целях создания условий для дальнейшего развития конкуренции на рынках</w:t>
      </w:r>
      <w:proofErr w:type="gramEnd"/>
      <w:r w:rsidRPr="00F97A2C">
        <w:rPr>
          <w:rFonts w:ascii="Times New Roman" w:hAnsi="Times New Roman" w:cs="Times New Roman"/>
          <w:sz w:val="28"/>
          <w:szCs w:val="28"/>
        </w:rPr>
        <w:t xml:space="preserve"> товаров, работ, услуг на территории Прохладненского</w:t>
      </w:r>
      <w:r w:rsidRPr="007658E9">
        <w:rPr>
          <w:rFonts w:ascii="Times New Roman" w:hAnsi="Times New Roman" w:cs="Times New Roman"/>
          <w:sz w:val="28"/>
          <w:szCs w:val="28"/>
        </w:rPr>
        <w:t xml:space="preserve"> муниципального района КБР, местная администрация </w:t>
      </w:r>
      <w:r w:rsidRPr="00F97A2C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</w:t>
      </w:r>
      <w:proofErr w:type="spellStart"/>
      <w:proofErr w:type="gramStart"/>
      <w:r w:rsidRPr="00F97A2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97A2C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F97A2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97A2C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352A39" w:rsidRPr="007658E9" w:rsidRDefault="00352A39" w:rsidP="00352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A2C">
        <w:rPr>
          <w:rFonts w:ascii="Times New Roman" w:hAnsi="Times New Roman" w:cs="Times New Roman"/>
          <w:sz w:val="28"/>
          <w:szCs w:val="28"/>
        </w:rPr>
        <w:t>1. Внести в муниципальную программу «Развитие конкуренции в Прохладненском муниципальном районе КБР», утвержденную постановлением местной администрации Прохладненского муниципального района от 17.12.2019 № 839 (далее – Программа), следующие изменения</w:t>
      </w:r>
      <w:r w:rsidRPr="007658E9">
        <w:rPr>
          <w:rFonts w:ascii="Times New Roman" w:hAnsi="Times New Roman" w:cs="Times New Roman"/>
          <w:sz w:val="28"/>
          <w:szCs w:val="28"/>
        </w:rPr>
        <w:t>:</w:t>
      </w:r>
    </w:p>
    <w:p w:rsidR="00352A39" w:rsidRPr="007658E9" w:rsidRDefault="00352A39" w:rsidP="00352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9">
        <w:rPr>
          <w:rFonts w:ascii="Times New Roman" w:hAnsi="Times New Roman" w:cs="Times New Roman"/>
          <w:sz w:val="28"/>
          <w:szCs w:val="28"/>
        </w:rPr>
        <w:t xml:space="preserve">1.1. В паспорте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58E9">
        <w:rPr>
          <w:rFonts w:ascii="Times New Roman" w:hAnsi="Times New Roman" w:cs="Times New Roman"/>
          <w:sz w:val="28"/>
          <w:szCs w:val="28"/>
        </w:rPr>
        <w:t>Развитие конкуренции в Прохладненском муниципальном районе КБР» раздел «Сроки реализации программы» изложить в новой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993"/>
        <w:gridCol w:w="6378"/>
      </w:tblGrid>
      <w:tr w:rsidR="00352A39" w:rsidRPr="007658E9" w:rsidTr="005A01FD">
        <w:tc>
          <w:tcPr>
            <w:tcW w:w="2330" w:type="dxa"/>
          </w:tcPr>
          <w:p w:rsidR="00352A39" w:rsidRPr="007658E9" w:rsidRDefault="00352A39" w:rsidP="005A01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58E9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58E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993" w:type="dxa"/>
          </w:tcPr>
          <w:p w:rsidR="00352A39" w:rsidRPr="007658E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3292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будет реализована в </w:t>
            </w:r>
            <w:r>
              <w:rPr>
                <w:rFonts w:ascii="Times New Roman" w:hAnsi="Times New Roman"/>
                <w:sz w:val="28"/>
                <w:szCs w:val="28"/>
              </w:rPr>
              <w:t>восем</w:t>
            </w:r>
            <w:r w:rsidRPr="00A32926">
              <w:rPr>
                <w:rFonts w:ascii="Times New Roman" w:hAnsi="Times New Roman"/>
                <w:sz w:val="28"/>
                <w:szCs w:val="28"/>
              </w:rPr>
              <w:t>ь этапов: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1-й этап –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2-й этап –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3-й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lastRenderedPageBreak/>
              <w:t>4-й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5-й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BA4481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>6-й этап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A4481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  <w:p w:rsidR="00352A39" w:rsidRPr="00F97A2C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BA4481">
              <w:rPr>
                <w:rFonts w:ascii="Times New Roman" w:hAnsi="Times New Roman"/>
                <w:sz w:val="28"/>
                <w:szCs w:val="28"/>
              </w:rPr>
              <w:t xml:space="preserve">7-й этап – </w:t>
            </w:r>
            <w:r w:rsidRPr="00F97A2C">
              <w:rPr>
                <w:rFonts w:ascii="Times New Roman" w:hAnsi="Times New Roman"/>
                <w:sz w:val="28"/>
                <w:szCs w:val="28"/>
              </w:rPr>
              <w:t>2025 год;</w:t>
            </w:r>
          </w:p>
          <w:p w:rsidR="00352A39" w:rsidRPr="00F97A2C" w:rsidRDefault="00352A39" w:rsidP="005A01F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F97A2C">
              <w:rPr>
                <w:rFonts w:ascii="Times New Roman" w:hAnsi="Times New Roman"/>
                <w:sz w:val="28"/>
                <w:szCs w:val="28"/>
              </w:rPr>
              <w:t>8-й этап – 2026 год;</w:t>
            </w:r>
          </w:p>
          <w:p w:rsidR="00352A39" w:rsidRPr="007658E9" w:rsidRDefault="00352A39" w:rsidP="005A01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A2C">
              <w:rPr>
                <w:rFonts w:ascii="Times New Roman" w:hAnsi="Times New Roman"/>
                <w:sz w:val="28"/>
                <w:szCs w:val="28"/>
              </w:rPr>
              <w:t>9-й этап – 2027 год.</w:t>
            </w:r>
          </w:p>
        </w:tc>
      </w:tr>
    </w:tbl>
    <w:p w:rsidR="00352A39" w:rsidRPr="007658E9" w:rsidRDefault="00352A39" w:rsidP="00352A39">
      <w:pPr>
        <w:jc w:val="both"/>
        <w:rPr>
          <w:sz w:val="28"/>
          <w:szCs w:val="28"/>
        </w:rPr>
      </w:pPr>
    </w:p>
    <w:p w:rsidR="00352A39" w:rsidRPr="006A1295" w:rsidRDefault="00352A39" w:rsidP="00352A39">
      <w:pPr>
        <w:ind w:firstLine="851"/>
        <w:jc w:val="both"/>
        <w:rPr>
          <w:sz w:val="28"/>
          <w:szCs w:val="28"/>
        </w:rPr>
      </w:pPr>
      <w:r w:rsidRPr="007658E9">
        <w:rPr>
          <w:sz w:val="28"/>
          <w:szCs w:val="28"/>
        </w:rPr>
        <w:t xml:space="preserve">1.2. В паспорте Программы раздел «Объемы и источники финансирования (с </w:t>
      </w:r>
      <w:r w:rsidRPr="006A1295">
        <w:rPr>
          <w:sz w:val="28"/>
          <w:szCs w:val="28"/>
        </w:rPr>
        <w:t>разбивкой по годам и уровням бюджетов)» изложить в новой редакции:</w:t>
      </w:r>
    </w:p>
    <w:p w:rsidR="00352A39" w:rsidRPr="006A1295" w:rsidRDefault="00352A39" w:rsidP="00352A3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6343"/>
      </w:tblGrid>
      <w:tr w:rsidR="00352A39" w:rsidRPr="006A1295" w:rsidTr="005A01FD">
        <w:tc>
          <w:tcPr>
            <w:tcW w:w="3227" w:type="dxa"/>
          </w:tcPr>
          <w:p w:rsidR="00352A39" w:rsidRPr="006A1295" w:rsidRDefault="00352A39" w:rsidP="005A01FD">
            <w:pPr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Объемы и источники финансирования (с разбивкой по годам и уровням бюджетов)</w:t>
            </w:r>
          </w:p>
        </w:tc>
        <w:tc>
          <w:tcPr>
            <w:tcW w:w="6343" w:type="dxa"/>
          </w:tcPr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Общий объем финансирования за счет средств федерального бюджета – 0,00 руб.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Общий объем финансирования за счет средств республиканского бюджета – 0,00 руб.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Общий объем финансирования за счет средств местного бюджета – 0,00 руб., в т.ч. по годам: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2019 год – 0,00 руб.,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2020 год – 0,00 руб.,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2021 год – 0,00 руб.,</w:t>
            </w: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>2022 год – 0,00 руб.,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  <w:r w:rsidRPr="006A1295">
              <w:rPr>
                <w:sz w:val="28"/>
                <w:szCs w:val="28"/>
              </w:rPr>
              <w:t xml:space="preserve">2023 </w:t>
            </w:r>
            <w:r w:rsidRPr="00F97A2C">
              <w:rPr>
                <w:sz w:val="28"/>
                <w:szCs w:val="28"/>
              </w:rPr>
              <w:t>год – 0,00 руб.,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  <w:r w:rsidRPr="00F97A2C">
              <w:rPr>
                <w:sz w:val="28"/>
                <w:szCs w:val="28"/>
              </w:rPr>
              <w:t>2024 год – 0,00 руб.;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  <w:r w:rsidRPr="00F97A2C">
              <w:rPr>
                <w:sz w:val="28"/>
                <w:szCs w:val="28"/>
              </w:rPr>
              <w:t>2025 год – 0,00 руб.;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  <w:r w:rsidRPr="00F97A2C">
              <w:rPr>
                <w:sz w:val="28"/>
                <w:szCs w:val="28"/>
              </w:rPr>
              <w:t>2026 год – 0,00 руб.;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  <w:r w:rsidRPr="00F97A2C">
              <w:rPr>
                <w:sz w:val="28"/>
                <w:szCs w:val="28"/>
              </w:rPr>
              <w:t>2027 год – 0,00 руб.</w:t>
            </w:r>
          </w:p>
          <w:p w:rsidR="00352A39" w:rsidRPr="00F97A2C" w:rsidRDefault="00352A39" w:rsidP="005A01FD">
            <w:pPr>
              <w:jc w:val="both"/>
              <w:rPr>
                <w:sz w:val="28"/>
                <w:szCs w:val="28"/>
              </w:rPr>
            </w:pPr>
          </w:p>
          <w:p w:rsidR="00352A39" w:rsidRPr="006A1295" w:rsidRDefault="00352A39" w:rsidP="005A01FD">
            <w:pPr>
              <w:jc w:val="both"/>
              <w:rPr>
                <w:sz w:val="28"/>
                <w:szCs w:val="28"/>
              </w:rPr>
            </w:pPr>
            <w:r w:rsidRPr="00F97A2C">
              <w:rPr>
                <w:sz w:val="28"/>
                <w:szCs w:val="28"/>
              </w:rPr>
              <w:t>ИТОГО общий</w:t>
            </w:r>
            <w:r w:rsidRPr="006A1295">
              <w:rPr>
                <w:sz w:val="28"/>
                <w:szCs w:val="28"/>
              </w:rPr>
              <w:t xml:space="preserve"> объем финансирования за счет всех источников финансирования – 0,00 руб.</w:t>
            </w:r>
          </w:p>
        </w:tc>
      </w:tr>
    </w:tbl>
    <w:p w:rsidR="00352A39" w:rsidRPr="006A1295" w:rsidRDefault="00352A39" w:rsidP="00352A39">
      <w:pPr>
        <w:rPr>
          <w:sz w:val="28"/>
          <w:szCs w:val="28"/>
        </w:rPr>
      </w:pPr>
    </w:p>
    <w:p w:rsidR="00352A39" w:rsidRPr="006A1295" w:rsidRDefault="00352A39" w:rsidP="00352A39">
      <w:pPr>
        <w:ind w:firstLine="851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2. Приложения №№ 1, 2 к Программе изложить в новой редакции (прилагаются).</w:t>
      </w:r>
    </w:p>
    <w:p w:rsidR="00352A39" w:rsidRPr="006A1295" w:rsidRDefault="00352A39" w:rsidP="00352A39">
      <w:pPr>
        <w:ind w:firstLine="851"/>
        <w:jc w:val="both"/>
        <w:rPr>
          <w:sz w:val="28"/>
          <w:szCs w:val="28"/>
        </w:rPr>
      </w:pPr>
      <w:r w:rsidRPr="006A1295">
        <w:rPr>
          <w:sz w:val="28"/>
          <w:szCs w:val="28"/>
        </w:rPr>
        <w:t>3. МКУ «Управление финансами местной администрации Прохладненского района КБР» (</w:t>
      </w:r>
      <w:proofErr w:type="spellStart"/>
      <w:r w:rsidRPr="006A1295">
        <w:rPr>
          <w:sz w:val="28"/>
          <w:szCs w:val="28"/>
        </w:rPr>
        <w:t>Галачиева</w:t>
      </w:r>
      <w:proofErr w:type="spellEnd"/>
      <w:r w:rsidRPr="006A1295">
        <w:rPr>
          <w:sz w:val="28"/>
          <w:szCs w:val="28"/>
        </w:rPr>
        <w:t xml:space="preserve"> С.В.)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программы «Развитие конкуренции в Прохладненском муниципальном районе Кабардино-Балкарской Республики».</w:t>
      </w:r>
    </w:p>
    <w:p w:rsidR="00352A39" w:rsidRPr="008521AA" w:rsidRDefault="00352A39" w:rsidP="00352A39">
      <w:pPr>
        <w:ind w:firstLine="851"/>
        <w:jc w:val="both"/>
        <w:rPr>
          <w:sz w:val="28"/>
          <w:szCs w:val="28"/>
        </w:rPr>
      </w:pPr>
      <w:r w:rsidRPr="006A1295">
        <w:rPr>
          <w:sz w:val="28"/>
          <w:szCs w:val="28"/>
        </w:rPr>
        <w:t xml:space="preserve">4. Опубликовать настоящее постановление в газете «Прохладненские известия» с одновременным размещением на официальном сайте местной администрации </w:t>
      </w:r>
      <w:r w:rsidRPr="008521AA">
        <w:rPr>
          <w:sz w:val="28"/>
          <w:szCs w:val="28"/>
        </w:rPr>
        <w:t>Прохладненского муниципального района https://prohladnenskiy.kbr.ru.</w:t>
      </w:r>
    </w:p>
    <w:p w:rsidR="00352A39" w:rsidRPr="008521AA" w:rsidRDefault="00352A39" w:rsidP="00352A39">
      <w:pPr>
        <w:ind w:firstLine="851"/>
        <w:jc w:val="both"/>
        <w:rPr>
          <w:sz w:val="28"/>
          <w:szCs w:val="28"/>
        </w:rPr>
      </w:pPr>
      <w:r w:rsidRPr="008521AA">
        <w:rPr>
          <w:sz w:val="28"/>
          <w:szCs w:val="28"/>
        </w:rPr>
        <w:t>5. Контроль по исполнению настоящего постановления оставляю за собой.</w:t>
      </w:r>
    </w:p>
    <w:p w:rsidR="00352A39" w:rsidRDefault="00352A39" w:rsidP="00352A39">
      <w:pPr>
        <w:ind w:firstLine="851"/>
        <w:jc w:val="both"/>
        <w:rPr>
          <w:sz w:val="28"/>
          <w:szCs w:val="28"/>
        </w:rPr>
      </w:pPr>
      <w:r w:rsidRPr="008521AA">
        <w:rPr>
          <w:sz w:val="28"/>
          <w:szCs w:val="28"/>
        </w:rPr>
        <w:t>6. Настоящее постановление вступает в силу с момента его подписания и распространяется на правоотношения, возникшие с 01.01.2025 года.</w:t>
      </w:r>
    </w:p>
    <w:p w:rsidR="00352A39" w:rsidRDefault="00352A39" w:rsidP="00352A3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352A39" w:rsidTr="005A01FD">
        <w:tc>
          <w:tcPr>
            <w:tcW w:w="5495" w:type="dxa"/>
            <w:hideMark/>
          </w:tcPr>
          <w:p w:rsidR="00352A39" w:rsidRDefault="00352A39" w:rsidP="005A01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352A39" w:rsidRDefault="00352A39" w:rsidP="005A01FD">
            <w:pPr>
              <w:rPr>
                <w:sz w:val="28"/>
                <w:szCs w:val="28"/>
              </w:rPr>
            </w:pPr>
          </w:p>
          <w:p w:rsidR="00352A39" w:rsidRDefault="00352A39" w:rsidP="005A01F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Ломов</w:t>
            </w:r>
          </w:p>
        </w:tc>
      </w:tr>
    </w:tbl>
    <w:p w:rsidR="00352A39" w:rsidRPr="00E827B1" w:rsidRDefault="00352A39" w:rsidP="00352A39">
      <w:pPr>
        <w:pStyle w:val="3"/>
        <w:jc w:val="both"/>
        <w:rPr>
          <w:b w:val="0"/>
          <w:szCs w:val="28"/>
        </w:rPr>
      </w:pPr>
    </w:p>
    <w:p w:rsidR="00352A39" w:rsidRPr="00E827B1" w:rsidRDefault="00352A39" w:rsidP="00352A39">
      <w:pPr>
        <w:jc w:val="center"/>
        <w:rPr>
          <w:b/>
        </w:rPr>
        <w:sectPr w:rsidR="00352A39" w:rsidRPr="00E827B1" w:rsidSect="003E2AA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lastRenderedPageBreak/>
        <w:t>Приложение №1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к муниципальной программе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«Развитие конкуренции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в Прохладненском муниципальном районе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Кабардино-Балкарской Республики»</w:t>
      </w:r>
    </w:p>
    <w:p w:rsidR="00352A39" w:rsidRPr="00352A39" w:rsidRDefault="00352A39" w:rsidP="00352A39">
      <w:pPr>
        <w:pStyle w:val="ConsPlusNormal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bookmarkStart w:id="1" w:name="P289"/>
      <w:bookmarkEnd w:id="1"/>
      <w:r w:rsidRPr="00352A39">
        <w:rPr>
          <w:szCs w:val="22"/>
        </w:rPr>
        <w:t>СИСТЕМА ПРОГРАММНЫХ МЕРОПРИЯТИЙ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 xml:space="preserve">МУНИЦИПАЛЬНОЙ ПРОГРАММЫ «РАЗВИТИЕ КОНКУРЕНЦИИ 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>В ПРОХЛАДНЕНСКОМ МУНИЦИПАЛЬНОМ РАЙОНЕ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>КАБАРДИНО-БАЛКАРСКОЙ РЕСПУБЛИКИ»</w:t>
      </w:r>
    </w:p>
    <w:p w:rsidR="00352A39" w:rsidRPr="00352A39" w:rsidRDefault="00352A39" w:rsidP="00352A39">
      <w:pPr>
        <w:spacing w:after="1"/>
        <w:rPr>
          <w:sz w:val="22"/>
          <w:szCs w:val="22"/>
        </w:rPr>
      </w:pP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147"/>
        <w:gridCol w:w="1886"/>
        <w:gridCol w:w="1393"/>
        <w:gridCol w:w="1276"/>
        <w:gridCol w:w="6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693"/>
      </w:tblGrid>
      <w:tr w:rsidR="00352A39" w:rsidRPr="00352A39" w:rsidTr="005A01FD">
        <w:trPr>
          <w:jc w:val="center"/>
        </w:trPr>
        <w:tc>
          <w:tcPr>
            <w:tcW w:w="568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352A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147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886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Исполнитель мероприятия</w:t>
            </w:r>
          </w:p>
        </w:tc>
        <w:tc>
          <w:tcPr>
            <w:tcW w:w="1393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  <w:tc>
          <w:tcPr>
            <w:tcW w:w="1276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  <w:gridSpan w:val="9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Объем финансирования, тыс. руб.</w:t>
            </w:r>
          </w:p>
        </w:tc>
        <w:tc>
          <w:tcPr>
            <w:tcW w:w="2693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Ожидаемые результаты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</w:tcPr>
          <w:p w:rsidR="00352A39" w:rsidRPr="00352A39" w:rsidRDefault="00352A39" w:rsidP="005A01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2025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2026 год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2027 год</w:t>
            </w:r>
          </w:p>
        </w:tc>
        <w:tc>
          <w:tcPr>
            <w:tcW w:w="2693" w:type="dxa"/>
            <w:vMerge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Проведение анализа заявлений, обращений граждан на предмет наличия информации о фактах необоснованного ограничения конкуренции со стороны муниципальных органов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Управляющий делами местной администрации Прохладненского муниципального района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Выявление и исключение фактов необоснованного ограничения конкуренции со стороны муниципальных органов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Ежегодно, ноябрь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Повышение показателей удовлетворенности субъектов предпринимательской деятельности государственными и муниципальными услугами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Актуализация и публикация в СМИ реестра муниципальных и государственных услуг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Повышение информированности населения о предоставляемых муниципальных и государственных услугах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Проведение оценки регулирующего воздействия проектов муниципальных нормативно-правовых актов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Ежегодно, 2 раза в год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Выявление положений, вводящих избыточные обязанности, запреты и ограничения для субъектов предпринимательской деятельности, или способствующих их введению (в том числе негативно воздействующие на состояние конкуренции)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Обеспечение прозрачности деятельности в области согласования документации по выдаче разрешений на строительство и ввод объектов в эксплуатацию, в том числе с проведением мониторинга эффективности оказания муниципальной услуги по выдаче разрешений на строительство и ввод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объектов в эксплуатацию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Отдел архитектуры и градостроительства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Упрощение процедуры согласования документации по выдаче разрешений на строительство и ввод объектов в эксплуатацию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6.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Организация совместно с потребителями и иными заинтересованными сторонами мониторинга за соблюдением установленных сроков, порядка и условий исполнения договоров на подключение и поставку энергоресурсов, ресурсов со стороны организаций коммунального комплекса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Управление строительства, архитектуры, промышленности, энергетики, транспорта, связи, ЖКХ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Ежегодно, декабрь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Контроль качественного и своевременного предоставления услуг в сфере жилищно-коммунального хозяйства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Развитие системы закупок, направленной на расширение возможностей поиска информации потенциальными участниками размещения заказа о торгах, проводимых государственными и муниципальными заказчиками, и расширение </w:t>
            </w:r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числа потенциальных участников процедур размещения заказа</w:t>
            </w:r>
            <w:proofErr w:type="gramEnd"/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Отдел муниципальных закупок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количества участников закупок и повышение эффективности и прозрачности процедур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Проведение работы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по информированию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 xml:space="preserve">Отдел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 xml:space="preserve">2019 - 2027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 xml:space="preserve">Местный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lastRenderedPageBreak/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Повышение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информационной грамотности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9.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Проведение совещаний с </w:t>
            </w:r>
            <w:proofErr w:type="spellStart"/>
            <w:r w:rsidRPr="00352A39">
              <w:rPr>
                <w:rFonts w:ascii="Times New Roman" w:hAnsi="Times New Roman" w:cs="Times New Roman"/>
                <w:szCs w:val="22"/>
              </w:rPr>
              <w:t>сельхозтоваропроизводителями</w:t>
            </w:r>
            <w:proofErr w:type="spellEnd"/>
            <w:r w:rsidRPr="00352A39">
              <w:rPr>
                <w:rFonts w:ascii="Times New Roman" w:hAnsi="Times New Roman" w:cs="Times New Roman"/>
                <w:szCs w:val="22"/>
              </w:rPr>
              <w:t xml:space="preserve"> по выявлению и устранению административных и организационных барьеров, содействие созданию союзов (ассоциаций, кооперативов), объединяющих производителей продукции, ее переработчиков, реализующих готовую продукцию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Управление сельского хозяйства и продовольствия местной администрации Прохладненского муниципального района КБР,</w:t>
            </w:r>
          </w:p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количества сельскохозяйственных кооперативов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Расширение практики прямых продаж сельскохозяйственных товаров населению, в том числе через рынки и ярмарки выходного дня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Расширение рынка сбыта продукции </w:t>
            </w:r>
            <w:proofErr w:type="spellStart"/>
            <w:r w:rsidRPr="00352A39">
              <w:rPr>
                <w:rFonts w:ascii="Times New Roman" w:hAnsi="Times New Roman" w:cs="Times New Roman"/>
                <w:szCs w:val="22"/>
              </w:rPr>
              <w:t>сельхозтоваропроизводителей</w:t>
            </w:r>
            <w:proofErr w:type="spellEnd"/>
            <w:r w:rsidRPr="00352A39">
              <w:rPr>
                <w:rFonts w:ascii="Times New Roman" w:hAnsi="Times New Roman" w:cs="Times New Roman"/>
                <w:szCs w:val="22"/>
              </w:rPr>
              <w:t>, повышение экономической доступности товаров для населения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11.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Выявление и содействие в постановке на налоговый учет участников рынка, осуществляющих добычу полезных ископаемых на территории района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Управление сельского хозяйства и продовольствия местной администрации Прохладненского муниципального района КБ</w:t>
            </w:r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Р(</w:t>
            </w:r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>уполномоченный орган по осуществлению земельного контроля)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Появление доли субъектов малого и среднего предпринимательства на рынке строительных материалов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Увеличение количества отделений МКУ </w:t>
            </w:r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ДО</w:t>
            </w:r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Районный</w:t>
            </w:r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 xml:space="preserve"> центр детского творчества" в образовательных учреждениях района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МКУ «Управление образования местной администрации Прохладненского муниципального района КБР»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обеспеченности населения учреждениями дополнительного образования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Размещение в СМИ информации и просветительских материалов о порядке создания негосударственных образовательных и дошкольных учреждений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МКУ «Управление образования местной администрации Прохладненского муниципального района КБР»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годы, не реже 1 раза в полугодие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Привлечение негосударственных (частных) организаций (лиц) к осуществлению деятельности в области общего и дошкольного образования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Проведение экспертизы нормативных правовых актов на предмет выявления факторов, ограничивающих конкуренцию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Юридический отдел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Ежегодно, декабрь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Устранение норм, ограничивающих конкуренцию, сокращение нарушений антимонопольного законодательства органами местного самоуправления,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повышение качества подготовки нормативных правовых актов, затрагивающих вопросы воздействия на конкуренцию</w:t>
            </w:r>
          </w:p>
        </w:tc>
      </w:tr>
      <w:tr w:rsidR="00352A39" w:rsidRPr="00352A39" w:rsidTr="005A01FD">
        <w:trPr>
          <w:jc w:val="center"/>
        </w:trPr>
        <w:tc>
          <w:tcPr>
            <w:tcW w:w="568" w:type="dxa"/>
          </w:tcPr>
          <w:p w:rsidR="00352A39" w:rsidRPr="00352A39" w:rsidRDefault="00352A39" w:rsidP="005A01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15.</w:t>
            </w:r>
          </w:p>
        </w:tc>
        <w:tc>
          <w:tcPr>
            <w:tcW w:w="2147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Исполнение Плана мероприятий ("дорожная карта") по содействию конкуренции в Прохладненском муниципальном районе на 2022 - 2025 годы</w:t>
            </w:r>
          </w:p>
        </w:tc>
        <w:tc>
          <w:tcPr>
            <w:tcW w:w="188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Отраслевые управления и отделы местной администрации Прохладненского муниципального района КБР</w:t>
            </w:r>
          </w:p>
        </w:tc>
        <w:tc>
          <w:tcPr>
            <w:tcW w:w="13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2019 - 2027 годы</w:t>
            </w:r>
          </w:p>
        </w:tc>
        <w:tc>
          <w:tcPr>
            <w:tcW w:w="127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690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Развитие конкурентной среды на рынках товаров, работ и услуг Прохладненского муниципального района</w:t>
            </w:r>
          </w:p>
        </w:tc>
      </w:tr>
      <w:tr w:rsidR="00352A39" w:rsidRPr="00352A39" w:rsidTr="005A01FD">
        <w:trPr>
          <w:jc w:val="center"/>
        </w:trPr>
        <w:tc>
          <w:tcPr>
            <w:tcW w:w="2715" w:type="dxa"/>
            <w:gridSpan w:val="2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ВСЕГО ПО ПРОГРАММЕ:</w:t>
            </w:r>
          </w:p>
        </w:tc>
        <w:tc>
          <w:tcPr>
            <w:tcW w:w="1886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567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52A39">
              <w:rPr>
                <w:rFonts w:ascii="Times New Roman" w:hAnsi="Times New Roman" w:cs="Times New Roman"/>
                <w:b/>
                <w:szCs w:val="22"/>
              </w:rPr>
              <w:t>0,0</w:t>
            </w:r>
          </w:p>
        </w:tc>
        <w:tc>
          <w:tcPr>
            <w:tcW w:w="2693" w:type="dxa"/>
            <w:vAlign w:val="center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lastRenderedPageBreak/>
        <w:t>Приложение № 2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к муниципальной целевой программе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«Развитие конкуренции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в Прохладненском муниципальном районе</w:t>
      </w:r>
    </w:p>
    <w:p w:rsidR="00352A39" w:rsidRPr="00352A39" w:rsidRDefault="00352A39" w:rsidP="00352A3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52A39">
        <w:rPr>
          <w:rFonts w:ascii="Times New Roman" w:hAnsi="Times New Roman" w:cs="Times New Roman"/>
          <w:szCs w:val="22"/>
        </w:rPr>
        <w:t>Кабардино-Балкарской Республики»</w:t>
      </w:r>
    </w:p>
    <w:p w:rsidR="00352A39" w:rsidRPr="00352A39" w:rsidRDefault="00352A39" w:rsidP="00352A39">
      <w:pPr>
        <w:pStyle w:val="ConsPlusNormal"/>
        <w:rPr>
          <w:rFonts w:ascii="Times New Roman" w:hAnsi="Times New Roman" w:cs="Times New Roman"/>
          <w:szCs w:val="22"/>
        </w:rPr>
      </w:pP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bookmarkStart w:id="2" w:name="P529"/>
      <w:bookmarkEnd w:id="2"/>
      <w:r w:rsidRPr="00352A39">
        <w:rPr>
          <w:szCs w:val="22"/>
        </w:rPr>
        <w:t>СВЕДЕНИЯ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>О ПОКАЗАТЕЛЯХ (ИНДИКАТОРАХ) МУНИЦИПАЛЬНОЙ ПРОГРАММЫ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>«РАЗВИТИЕ КОНКУРЕНЦИИ В ПРОХЛАДНЕНСКОМ МУНИЦИПАЛЬНОМ РАЙОНЕ</w:t>
      </w:r>
    </w:p>
    <w:p w:rsidR="00352A39" w:rsidRPr="00352A39" w:rsidRDefault="00352A39" w:rsidP="00352A39">
      <w:pPr>
        <w:pStyle w:val="ConsPlusTitle"/>
        <w:jc w:val="center"/>
        <w:rPr>
          <w:szCs w:val="22"/>
        </w:rPr>
      </w:pPr>
      <w:r w:rsidRPr="00352A39">
        <w:rPr>
          <w:szCs w:val="22"/>
        </w:rPr>
        <w:t xml:space="preserve">КАБАРДИНО-БАЛКАРСКОЙ РЕСПУБЛИКИ» И ИХ </w:t>
      </w:r>
      <w:proofErr w:type="gramStart"/>
      <w:r w:rsidRPr="00352A39">
        <w:rPr>
          <w:szCs w:val="22"/>
        </w:rPr>
        <w:t>ЗНАЧЕНИЯХ</w:t>
      </w:r>
      <w:proofErr w:type="gramEnd"/>
    </w:p>
    <w:p w:rsidR="00352A39" w:rsidRPr="00352A39" w:rsidRDefault="00352A39" w:rsidP="00352A39">
      <w:pPr>
        <w:spacing w:after="1"/>
        <w:rPr>
          <w:sz w:val="22"/>
          <w:szCs w:val="22"/>
        </w:rPr>
      </w:pPr>
    </w:p>
    <w:p w:rsidR="00352A39" w:rsidRPr="00352A39" w:rsidRDefault="00352A39" w:rsidP="00352A3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3515"/>
        <w:gridCol w:w="1134"/>
        <w:gridCol w:w="849"/>
        <w:gridCol w:w="803"/>
        <w:gridCol w:w="802"/>
        <w:gridCol w:w="681"/>
        <w:gridCol w:w="746"/>
        <w:gridCol w:w="6"/>
        <w:gridCol w:w="645"/>
        <w:gridCol w:w="794"/>
        <w:gridCol w:w="702"/>
        <w:gridCol w:w="778"/>
        <w:gridCol w:w="678"/>
        <w:gridCol w:w="2629"/>
      </w:tblGrid>
      <w:tr w:rsidR="00352A39" w:rsidRPr="00352A39" w:rsidTr="005A01FD">
        <w:trPr>
          <w:jc w:val="center"/>
        </w:trPr>
        <w:tc>
          <w:tcPr>
            <w:tcW w:w="675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352A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3515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Наименование целевого показателя  (индикаторам)</w:t>
            </w:r>
          </w:p>
        </w:tc>
        <w:tc>
          <w:tcPr>
            <w:tcW w:w="1134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484" w:type="dxa"/>
            <w:gridSpan w:val="11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Значение показателей</w:t>
            </w:r>
          </w:p>
        </w:tc>
        <w:tc>
          <w:tcPr>
            <w:tcW w:w="2629" w:type="dxa"/>
            <w:vMerge w:val="restart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Отношение </w:t>
            </w:r>
            <w:proofErr w:type="gramStart"/>
            <w:r w:rsidRPr="00352A39">
              <w:rPr>
                <w:rFonts w:ascii="Times New Roman" w:hAnsi="Times New Roman" w:cs="Times New Roman"/>
                <w:szCs w:val="22"/>
              </w:rPr>
              <w:t>значения показателя последнего года реализации программы</w:t>
            </w:r>
            <w:proofErr w:type="gramEnd"/>
            <w:r w:rsidRPr="00352A39">
              <w:rPr>
                <w:rFonts w:ascii="Times New Roman" w:hAnsi="Times New Roman" w:cs="Times New Roman"/>
                <w:szCs w:val="22"/>
              </w:rPr>
              <w:t xml:space="preserve"> к отчетному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752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64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2025 год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2026 год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jc w:val="center"/>
              <w:rPr>
                <w:sz w:val="22"/>
                <w:szCs w:val="22"/>
              </w:rPr>
            </w:pPr>
            <w:r w:rsidRPr="00352A39">
              <w:rPr>
                <w:sz w:val="22"/>
                <w:szCs w:val="22"/>
              </w:rPr>
              <w:t>2027 год</w:t>
            </w:r>
          </w:p>
        </w:tc>
        <w:tc>
          <w:tcPr>
            <w:tcW w:w="2629" w:type="dxa"/>
            <w:vMerge/>
          </w:tcPr>
          <w:p w:rsidR="00352A39" w:rsidRPr="00352A39" w:rsidRDefault="00352A39" w:rsidP="005A01FD">
            <w:pPr>
              <w:rPr>
                <w:sz w:val="22"/>
                <w:szCs w:val="22"/>
              </w:rPr>
            </w:pP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Число участников размещения государственных и муниципальных заказов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203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138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124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107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104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115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значения показателя не менее чем на 10 %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Количество хозяйствующих субъектов, считающих, что состояние конкурентной среды улучшилось за истекший год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107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значения показателя не менее чем на 15 %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Количество вновь созданных (зарегистрированных) хозяйствующих субъектов, в том числе самозанятых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166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112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238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233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224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327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359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395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434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Увеличение значения показателя не менее чем на 10 %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Количество сельскохозяйственных кооперативов по снабжению, сбыту и переработке сельскохозяйственной продукции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Недопущение превышения уровня 2020 года.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Количество проведенных ярмарок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Недопущение превышения уровня 2020 года.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Количество сельскохозяйственных рынков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6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51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 xml:space="preserve">Недопущение превышения уровня 2021 </w:t>
            </w: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года.</w:t>
            </w:r>
          </w:p>
        </w:tc>
      </w:tr>
      <w:tr w:rsidR="00352A39" w:rsidRPr="00352A39" w:rsidTr="005A01FD">
        <w:trPr>
          <w:jc w:val="center"/>
        </w:trPr>
        <w:tc>
          <w:tcPr>
            <w:tcW w:w="67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3515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Выявление факторов, ограничивающих конкуренцию при принятии нормативно-правовых актов</w:t>
            </w:r>
          </w:p>
        </w:tc>
        <w:tc>
          <w:tcPr>
            <w:tcW w:w="113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849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3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81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52" w:type="dxa"/>
            <w:gridSpan w:val="2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5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94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2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78" w:type="dxa"/>
          </w:tcPr>
          <w:p w:rsidR="00352A39" w:rsidRPr="00352A39" w:rsidRDefault="00352A39" w:rsidP="005A01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29" w:type="dxa"/>
          </w:tcPr>
          <w:p w:rsidR="00352A39" w:rsidRPr="00352A39" w:rsidRDefault="00352A39" w:rsidP="005A01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52A39">
              <w:rPr>
                <w:rFonts w:ascii="Times New Roman" w:hAnsi="Times New Roman" w:cs="Times New Roman"/>
                <w:szCs w:val="22"/>
              </w:rPr>
              <w:t>Недопущение факторов, ограничивающих конкуренцию при принятии нормативно-правовых актов</w:t>
            </w:r>
          </w:p>
        </w:tc>
      </w:tr>
    </w:tbl>
    <w:p w:rsidR="00352A39" w:rsidRPr="00352A39" w:rsidRDefault="00352A39" w:rsidP="00352A39">
      <w:pPr>
        <w:rPr>
          <w:sz w:val="22"/>
          <w:szCs w:val="22"/>
        </w:rPr>
      </w:pPr>
    </w:p>
    <w:sectPr w:rsidR="00352A39" w:rsidRPr="00352A39" w:rsidSect="00352A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7F6A80"/>
    <w:multiLevelType w:val="hybridMultilevel"/>
    <w:tmpl w:val="D7D0C1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7819"/>
    <w:multiLevelType w:val="multilevel"/>
    <w:tmpl w:val="D22EACB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2" w:hanging="1800"/>
      </w:pPr>
      <w:rPr>
        <w:rFonts w:hint="default"/>
      </w:rPr>
    </w:lvl>
  </w:abstractNum>
  <w:abstractNum w:abstractNumId="3">
    <w:nsid w:val="2D1833FB"/>
    <w:multiLevelType w:val="hybridMultilevel"/>
    <w:tmpl w:val="683E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C522A"/>
    <w:multiLevelType w:val="multilevel"/>
    <w:tmpl w:val="8AA8B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2B5BA5"/>
    <w:multiLevelType w:val="singleLevel"/>
    <w:tmpl w:val="41745ED0"/>
    <w:lvl w:ilvl="0">
      <w:start w:val="5"/>
      <w:numFmt w:val="decimal"/>
      <w:lvlText w:val="%1."/>
      <w:legacy w:legacy="1" w:legacySpace="0" w:legacyIndent="287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6">
    <w:nsid w:val="37085F62"/>
    <w:multiLevelType w:val="hybridMultilevel"/>
    <w:tmpl w:val="CB5E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76630"/>
    <w:multiLevelType w:val="hybridMultilevel"/>
    <w:tmpl w:val="27F2EC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1322F"/>
    <w:multiLevelType w:val="hybridMultilevel"/>
    <w:tmpl w:val="10CE0C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2616C"/>
    <w:multiLevelType w:val="hybridMultilevel"/>
    <w:tmpl w:val="6396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91F32"/>
    <w:multiLevelType w:val="multilevel"/>
    <w:tmpl w:val="A8A8BA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2" w:hanging="1800"/>
      </w:pPr>
      <w:rPr>
        <w:rFonts w:hint="default"/>
      </w:rPr>
    </w:lvl>
  </w:abstractNum>
  <w:abstractNum w:abstractNumId="11">
    <w:nsid w:val="61D62011"/>
    <w:multiLevelType w:val="hybridMultilevel"/>
    <w:tmpl w:val="D7580628"/>
    <w:lvl w:ilvl="0" w:tplc="9C4CA47C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46B2550"/>
    <w:multiLevelType w:val="hybridMultilevel"/>
    <w:tmpl w:val="66AC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458B1"/>
    <w:multiLevelType w:val="hybridMultilevel"/>
    <w:tmpl w:val="6808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A6E1A"/>
    <w:multiLevelType w:val="hybridMultilevel"/>
    <w:tmpl w:val="6E24D12C"/>
    <w:lvl w:ilvl="0" w:tplc="8B3E4BD4">
      <w:start w:val="1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00250F1"/>
    <w:multiLevelType w:val="hybridMultilevel"/>
    <w:tmpl w:val="4770FD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6098D"/>
    <w:multiLevelType w:val="hybridMultilevel"/>
    <w:tmpl w:val="4E826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131D64"/>
    <w:multiLevelType w:val="multilevel"/>
    <w:tmpl w:val="3F76E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2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5"/>
    </w:lvlOverride>
  </w:num>
  <w:num w:numId="3">
    <w:abstractNumId w:val="14"/>
  </w:num>
  <w:num w:numId="4">
    <w:abstractNumId w:val="12"/>
  </w:num>
  <w:num w:numId="5">
    <w:abstractNumId w:val="16"/>
  </w:num>
  <w:num w:numId="6">
    <w:abstractNumId w:val="1"/>
  </w:num>
  <w:num w:numId="7">
    <w:abstractNumId w:val="13"/>
  </w:num>
  <w:num w:numId="8">
    <w:abstractNumId w:val="2"/>
  </w:num>
  <w:num w:numId="9">
    <w:abstractNumId w:val="4"/>
  </w:num>
  <w:num w:numId="10">
    <w:abstractNumId w:val="17"/>
  </w:num>
  <w:num w:numId="11">
    <w:abstractNumId w:val="10"/>
  </w:num>
  <w:num w:numId="12">
    <w:abstractNumId w:val="15"/>
  </w:num>
  <w:num w:numId="13">
    <w:abstractNumId w:val="8"/>
  </w:num>
  <w:num w:numId="14">
    <w:abstractNumId w:val="7"/>
  </w:num>
  <w:num w:numId="15">
    <w:abstractNumId w:val="3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97C"/>
    <w:rsid w:val="00027A78"/>
    <w:rsid w:val="00053717"/>
    <w:rsid w:val="000558B5"/>
    <w:rsid w:val="000C07BF"/>
    <w:rsid w:val="001136D5"/>
    <w:rsid w:val="00152D19"/>
    <w:rsid w:val="00170042"/>
    <w:rsid w:val="00187190"/>
    <w:rsid w:val="00192A0D"/>
    <w:rsid w:val="0019614E"/>
    <w:rsid w:val="001C05DF"/>
    <w:rsid w:val="001C7CBB"/>
    <w:rsid w:val="0021264A"/>
    <w:rsid w:val="00285186"/>
    <w:rsid w:val="00343025"/>
    <w:rsid w:val="003455EA"/>
    <w:rsid w:val="003457A9"/>
    <w:rsid w:val="00352A39"/>
    <w:rsid w:val="00366262"/>
    <w:rsid w:val="00375E99"/>
    <w:rsid w:val="00383C4D"/>
    <w:rsid w:val="00386D40"/>
    <w:rsid w:val="00392B53"/>
    <w:rsid w:val="003E4C73"/>
    <w:rsid w:val="003F431E"/>
    <w:rsid w:val="0040096D"/>
    <w:rsid w:val="00410A9F"/>
    <w:rsid w:val="004215E2"/>
    <w:rsid w:val="00432466"/>
    <w:rsid w:val="004625C9"/>
    <w:rsid w:val="004759BF"/>
    <w:rsid w:val="004A513C"/>
    <w:rsid w:val="004D1FD0"/>
    <w:rsid w:val="0052121B"/>
    <w:rsid w:val="00534E3B"/>
    <w:rsid w:val="00543F17"/>
    <w:rsid w:val="005501D7"/>
    <w:rsid w:val="00552C99"/>
    <w:rsid w:val="00557018"/>
    <w:rsid w:val="005924AB"/>
    <w:rsid w:val="00592CBB"/>
    <w:rsid w:val="0059466A"/>
    <w:rsid w:val="005B5492"/>
    <w:rsid w:val="005D76D5"/>
    <w:rsid w:val="005F444C"/>
    <w:rsid w:val="00641150"/>
    <w:rsid w:val="006D6471"/>
    <w:rsid w:val="00706162"/>
    <w:rsid w:val="00712146"/>
    <w:rsid w:val="00742077"/>
    <w:rsid w:val="00775267"/>
    <w:rsid w:val="007844C7"/>
    <w:rsid w:val="007A6906"/>
    <w:rsid w:val="007A697C"/>
    <w:rsid w:val="00801DFB"/>
    <w:rsid w:val="008112FC"/>
    <w:rsid w:val="00835D20"/>
    <w:rsid w:val="00863B18"/>
    <w:rsid w:val="00874E3B"/>
    <w:rsid w:val="008B28E1"/>
    <w:rsid w:val="008F65C8"/>
    <w:rsid w:val="0091254E"/>
    <w:rsid w:val="00920682"/>
    <w:rsid w:val="0094491B"/>
    <w:rsid w:val="00946B37"/>
    <w:rsid w:val="009B164E"/>
    <w:rsid w:val="009D1424"/>
    <w:rsid w:val="00A03389"/>
    <w:rsid w:val="00A43545"/>
    <w:rsid w:val="00A642C5"/>
    <w:rsid w:val="00A84F8A"/>
    <w:rsid w:val="00B964C6"/>
    <w:rsid w:val="00BA3915"/>
    <w:rsid w:val="00BB0588"/>
    <w:rsid w:val="00BE4B32"/>
    <w:rsid w:val="00BE514D"/>
    <w:rsid w:val="00BF4C17"/>
    <w:rsid w:val="00BF7692"/>
    <w:rsid w:val="00C2063F"/>
    <w:rsid w:val="00C524F8"/>
    <w:rsid w:val="00C54EA5"/>
    <w:rsid w:val="00C57D51"/>
    <w:rsid w:val="00C7272E"/>
    <w:rsid w:val="00C905F7"/>
    <w:rsid w:val="00CC19AD"/>
    <w:rsid w:val="00CC4C0E"/>
    <w:rsid w:val="00CE2354"/>
    <w:rsid w:val="00D27E7F"/>
    <w:rsid w:val="00D424E4"/>
    <w:rsid w:val="00D429AC"/>
    <w:rsid w:val="00D601E3"/>
    <w:rsid w:val="00D60504"/>
    <w:rsid w:val="00D61536"/>
    <w:rsid w:val="00D75E71"/>
    <w:rsid w:val="00DA71DB"/>
    <w:rsid w:val="00DD74B6"/>
    <w:rsid w:val="00DE0F10"/>
    <w:rsid w:val="00DF6FD8"/>
    <w:rsid w:val="00E51000"/>
    <w:rsid w:val="00E773A4"/>
    <w:rsid w:val="00E9030D"/>
    <w:rsid w:val="00E97B96"/>
    <w:rsid w:val="00E97F10"/>
    <w:rsid w:val="00F37CE5"/>
    <w:rsid w:val="00F434A9"/>
    <w:rsid w:val="00F450B8"/>
    <w:rsid w:val="00FC6CF4"/>
    <w:rsid w:val="00FD20DE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qFormat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91254E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254E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rmal (Web)"/>
    <w:aliases w:val="Обычный (Web),Title1,Обычный (веб) Знак1,Обычный (веб) Знак Знак"/>
    <w:basedOn w:val="a"/>
    <w:link w:val="aa"/>
    <w:uiPriority w:val="99"/>
    <w:qFormat/>
    <w:rsid w:val="0091254E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352A39"/>
    <w:rPr>
      <w:sz w:val="32"/>
      <w:szCs w:val="20"/>
    </w:rPr>
  </w:style>
  <w:style w:type="character" w:customStyle="1" w:styleId="ac">
    <w:name w:val="Основной текст Знак"/>
    <w:basedOn w:val="a0"/>
    <w:link w:val="ab"/>
    <w:rsid w:val="00352A39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d">
    <w:name w:val="Table Grid"/>
    <w:basedOn w:val="a1"/>
    <w:rsid w:val="00352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352A39"/>
    <w:pPr>
      <w:spacing w:after="160" w:line="240" w:lineRule="exact"/>
    </w:pPr>
    <w:rPr>
      <w:sz w:val="20"/>
      <w:szCs w:val="20"/>
    </w:rPr>
  </w:style>
  <w:style w:type="character" w:customStyle="1" w:styleId="aa">
    <w:name w:val="Обычный (веб) Знак"/>
    <w:aliases w:val="Title1 Знак,Обычный (веб) Знак1 Знак,Обычный (веб) Знак Знак Знак,Обычный (Web) Знак"/>
    <w:link w:val="a9"/>
    <w:uiPriority w:val="99"/>
    <w:rsid w:val="0035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ekon2</cp:lastModifiedBy>
  <cp:revision>85</cp:revision>
  <cp:lastPrinted>2021-05-20T08:40:00Z</cp:lastPrinted>
  <dcterms:created xsi:type="dcterms:W3CDTF">2018-02-27T11:09:00Z</dcterms:created>
  <dcterms:modified xsi:type="dcterms:W3CDTF">2025-03-18T13:21:00Z</dcterms:modified>
</cp:coreProperties>
</file>